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5219" w14:textId="6476C3DB" w:rsidR="00565CF1" w:rsidRDefault="00565CF1" w:rsidP="00BF2C46">
      <w:pPr>
        <w:spacing w:after="0" w:line="360" w:lineRule="auto"/>
        <w:jc w:val="both"/>
        <w:rPr>
          <w:rFonts w:ascii="Times New Roman" w:hAnsi="Times New Roman"/>
          <w:b/>
          <w:bCs/>
          <w:sz w:val="24"/>
          <w:szCs w:val="24"/>
          <w:lang w:val="pt-PT"/>
        </w:rPr>
      </w:pPr>
      <w:r w:rsidRPr="00565CF1">
        <w:rPr>
          <w:rFonts w:ascii="Times New Roman" w:hAnsi="Times New Roman"/>
          <w:b/>
          <w:bCs/>
          <w:sz w:val="24"/>
          <w:szCs w:val="24"/>
          <w:lang w:val="pt-PT"/>
        </w:rPr>
        <w:t>Avaliação d</w:t>
      </w:r>
      <w:r w:rsidR="000E6908">
        <w:rPr>
          <w:rFonts w:ascii="Times New Roman" w:hAnsi="Times New Roman"/>
          <w:b/>
          <w:bCs/>
          <w:sz w:val="24"/>
          <w:szCs w:val="24"/>
          <w:lang w:val="pt-PT"/>
        </w:rPr>
        <w:t>as</w:t>
      </w:r>
      <w:r w:rsidRPr="00565CF1">
        <w:rPr>
          <w:rFonts w:ascii="Times New Roman" w:hAnsi="Times New Roman"/>
          <w:b/>
          <w:bCs/>
          <w:sz w:val="24"/>
          <w:szCs w:val="24"/>
          <w:lang w:val="pt-PT"/>
        </w:rPr>
        <w:t xml:space="preserve"> ferramentas financeiras: a </w:t>
      </w:r>
      <w:r>
        <w:rPr>
          <w:rFonts w:ascii="Times New Roman" w:hAnsi="Times New Roman"/>
          <w:b/>
          <w:bCs/>
          <w:sz w:val="24"/>
          <w:szCs w:val="24"/>
          <w:lang w:val="pt-PT"/>
        </w:rPr>
        <w:t>R</w:t>
      </w:r>
      <w:r w:rsidRPr="00565CF1">
        <w:rPr>
          <w:rFonts w:ascii="Times New Roman" w:hAnsi="Times New Roman"/>
          <w:b/>
          <w:bCs/>
          <w:sz w:val="24"/>
          <w:szCs w:val="24"/>
          <w:lang w:val="pt-PT"/>
        </w:rPr>
        <w:t>evisão</w:t>
      </w:r>
    </w:p>
    <w:p w14:paraId="71F08467" w14:textId="45412050" w:rsidR="004B0631" w:rsidRPr="00BF2C46" w:rsidRDefault="00056276" w:rsidP="00BF2C46">
      <w:pPr>
        <w:spacing w:after="0" w:line="360" w:lineRule="auto"/>
        <w:jc w:val="both"/>
        <w:rPr>
          <w:rFonts w:ascii="Times New Roman" w:hAnsi="Times New Roman"/>
          <w:b/>
          <w:bCs/>
          <w:sz w:val="24"/>
          <w:szCs w:val="24"/>
        </w:rPr>
      </w:pPr>
      <w:r w:rsidRPr="00BF2C46">
        <w:rPr>
          <w:rFonts w:ascii="Times New Roman" w:hAnsi="Times New Roman"/>
          <w:b/>
          <w:bCs/>
          <w:sz w:val="24"/>
          <w:szCs w:val="24"/>
        </w:rPr>
        <w:t>Assessing Financial Tools: The Review</w:t>
      </w:r>
    </w:p>
    <w:p w14:paraId="2E72218C" w14:textId="70970370" w:rsidR="005A2660" w:rsidRPr="00BF2C46" w:rsidRDefault="006F5BB7" w:rsidP="00BF2C46">
      <w:pPr>
        <w:pStyle w:val="Ttulo1"/>
        <w:tabs>
          <w:tab w:val="left" w:pos="1701"/>
        </w:tabs>
        <w:spacing w:before="0" w:line="360" w:lineRule="auto"/>
        <w:jc w:val="both"/>
        <w:rPr>
          <w:b/>
          <w:bCs/>
          <w:lang w:val="pt-PT"/>
        </w:rPr>
      </w:pPr>
      <w:r w:rsidRPr="00BF2C46">
        <w:rPr>
          <w:rFonts w:ascii="Times New Roman" w:hAnsi="Times New Roman"/>
          <w:b/>
          <w:bCs/>
          <w:color w:val="000000" w:themeColor="text1"/>
          <w:lang w:val="pt-PT"/>
        </w:rPr>
        <w:t>Resumo</w:t>
      </w:r>
    </w:p>
    <w:p w14:paraId="451EAC58" w14:textId="4DE9F5B5" w:rsidR="001F77A2" w:rsidRPr="006865C9" w:rsidRDefault="002B0A00" w:rsidP="00BF2C46">
      <w:pPr>
        <w:spacing w:after="0" w:line="240" w:lineRule="auto"/>
        <w:jc w:val="both"/>
        <w:rPr>
          <w:rFonts w:ascii="Times New Roman" w:hAnsi="Times New Roman"/>
          <w:sz w:val="24"/>
          <w:szCs w:val="24"/>
          <w:lang w:val="pt-PT"/>
        </w:rPr>
      </w:pPr>
      <w:r w:rsidRPr="002B0A00">
        <w:rPr>
          <w:rFonts w:ascii="Times New Roman" w:hAnsi="Times New Roman"/>
          <w:sz w:val="24"/>
          <w:szCs w:val="24"/>
          <w:lang w:val="pt-PT"/>
        </w:rPr>
        <w:t>O cenário atual apresenta desafios em termos de projeções de investimentos globais no setor de energia. Novas medidas para reduzir a dependência energética dos países devem estar no topo da lista de importância para tomadores de decisão e formuladores de políticas públicas. Nesse contexto, o artigo teve como objetivo revisar as metodologias mais utilizadas na análise de investimentos, porém, não exaustivamente</w:t>
      </w:r>
      <w:r>
        <w:rPr>
          <w:rFonts w:ascii="Times New Roman" w:hAnsi="Times New Roman"/>
          <w:sz w:val="24"/>
          <w:szCs w:val="24"/>
          <w:lang w:val="pt-PT"/>
        </w:rPr>
        <w:t>.</w:t>
      </w:r>
      <w:r w:rsidRPr="002B0A00">
        <w:rPr>
          <w:rFonts w:ascii="Times New Roman" w:hAnsi="Times New Roman"/>
          <w:sz w:val="24"/>
          <w:szCs w:val="24"/>
          <w:lang w:val="pt-PT"/>
        </w:rPr>
        <w:t xml:space="preserve"> A revisão avaliou as vantagens e desvantagens dos diversos métodos de análise de investimentos encontrados em artigos acadêmicos e documentos de instituições oficiais publicados entre 1979 e 2023. Como resultado dessa análise, constatou-se que a escolha da ferramenta dependerá, sobretudo, de um conjunto de aspetos relacionados com a tomada de decisão que irão convergir para a escolha que melhor se adequa. Até agora, a pesquisa trabalhou apenas com a perspectiva da racionalidade do investimento com critérios puramente financeiros. No entanto, existe uma preocupação crescente em avaliar não só a </w:t>
      </w:r>
      <w:r>
        <w:rPr>
          <w:rFonts w:ascii="Times New Roman" w:hAnsi="Times New Roman"/>
          <w:sz w:val="24"/>
          <w:szCs w:val="24"/>
          <w:lang w:val="pt-PT"/>
        </w:rPr>
        <w:t xml:space="preserve">lucratividade </w:t>
      </w:r>
      <w:r w:rsidRPr="002B0A00">
        <w:rPr>
          <w:rFonts w:ascii="Times New Roman" w:hAnsi="Times New Roman"/>
          <w:sz w:val="24"/>
          <w:szCs w:val="24"/>
          <w:lang w:val="pt-PT"/>
        </w:rPr>
        <w:t>do investimento, mas também em realizar uma abordagem mais integrada relativamente aos impact</w:t>
      </w:r>
      <w:r>
        <w:rPr>
          <w:rFonts w:ascii="Times New Roman" w:hAnsi="Times New Roman"/>
          <w:sz w:val="24"/>
          <w:szCs w:val="24"/>
          <w:lang w:val="pt-PT"/>
        </w:rPr>
        <w:t>o</w:t>
      </w:r>
      <w:r w:rsidRPr="002B0A00">
        <w:rPr>
          <w:rFonts w:ascii="Times New Roman" w:hAnsi="Times New Roman"/>
          <w:sz w:val="24"/>
          <w:szCs w:val="24"/>
          <w:lang w:val="pt-PT"/>
        </w:rPr>
        <w:t>s econ</w:t>
      </w:r>
      <w:r>
        <w:rPr>
          <w:rFonts w:ascii="Times New Roman" w:hAnsi="Times New Roman"/>
          <w:sz w:val="24"/>
          <w:szCs w:val="24"/>
          <w:lang w:val="pt-PT"/>
        </w:rPr>
        <w:t>ô</w:t>
      </w:r>
      <w:r w:rsidRPr="002B0A00">
        <w:rPr>
          <w:rFonts w:ascii="Times New Roman" w:hAnsi="Times New Roman"/>
          <w:sz w:val="24"/>
          <w:szCs w:val="24"/>
          <w:lang w:val="pt-PT"/>
        </w:rPr>
        <w:t>micos e ambientais. Esta revisão trouxe uma maior contribuição para a literatura atual, pois mostra que diferentes ferramentas cobrem diferentes efeitos, o que pode ser um importante ponto de decisão na escolha da ferramenta.</w:t>
      </w:r>
    </w:p>
    <w:p w14:paraId="6F51C7F1" w14:textId="0E971BBF" w:rsidR="00D468A1" w:rsidRDefault="006F5BB7" w:rsidP="00BF2C46">
      <w:pPr>
        <w:spacing w:after="0" w:line="360" w:lineRule="auto"/>
        <w:jc w:val="both"/>
        <w:rPr>
          <w:rFonts w:ascii="Times New Roman" w:hAnsi="Times New Roman"/>
          <w:sz w:val="24"/>
          <w:szCs w:val="24"/>
          <w:lang w:val="pt-PT"/>
        </w:rPr>
      </w:pPr>
      <w:r w:rsidRPr="006865C9">
        <w:rPr>
          <w:rFonts w:ascii="Times New Roman" w:hAnsi="Times New Roman"/>
          <w:sz w:val="24"/>
          <w:szCs w:val="24"/>
          <w:lang w:val="pt-PT"/>
        </w:rPr>
        <w:t>Palavras-chave</w:t>
      </w:r>
      <w:r w:rsidR="0073142E" w:rsidRPr="006865C9">
        <w:rPr>
          <w:rFonts w:ascii="Times New Roman" w:hAnsi="Times New Roman"/>
          <w:sz w:val="24"/>
          <w:szCs w:val="24"/>
          <w:lang w:val="pt-PT"/>
        </w:rPr>
        <w:t xml:space="preserve">: </w:t>
      </w:r>
      <w:r w:rsidR="005D64FB">
        <w:rPr>
          <w:rFonts w:ascii="Times New Roman" w:hAnsi="Times New Roman"/>
          <w:sz w:val="24"/>
          <w:szCs w:val="24"/>
          <w:lang w:val="pt-PT"/>
        </w:rPr>
        <w:t xml:space="preserve">metodologias; </w:t>
      </w:r>
      <w:r w:rsidR="0073142E" w:rsidRPr="006865C9">
        <w:rPr>
          <w:rFonts w:ascii="Times New Roman" w:hAnsi="Times New Roman"/>
          <w:sz w:val="24"/>
          <w:szCs w:val="24"/>
          <w:lang w:val="pt-PT"/>
        </w:rPr>
        <w:t>investment</w:t>
      </w:r>
      <w:r w:rsidRPr="006865C9">
        <w:rPr>
          <w:rFonts w:ascii="Times New Roman" w:hAnsi="Times New Roman"/>
          <w:sz w:val="24"/>
          <w:szCs w:val="24"/>
          <w:lang w:val="pt-PT"/>
        </w:rPr>
        <w:t>o</w:t>
      </w:r>
      <w:r w:rsidR="0073142E" w:rsidRPr="006865C9">
        <w:rPr>
          <w:rFonts w:ascii="Times New Roman" w:hAnsi="Times New Roman"/>
          <w:sz w:val="24"/>
          <w:szCs w:val="24"/>
          <w:lang w:val="pt-PT"/>
        </w:rPr>
        <w:t xml:space="preserve">; </w:t>
      </w:r>
      <w:r w:rsidRPr="006865C9">
        <w:rPr>
          <w:rFonts w:ascii="Times New Roman" w:hAnsi="Times New Roman"/>
          <w:sz w:val="24"/>
          <w:szCs w:val="24"/>
          <w:lang w:val="pt-PT"/>
        </w:rPr>
        <w:t>vantagens</w:t>
      </w:r>
      <w:r w:rsidR="0073142E" w:rsidRPr="006865C9">
        <w:rPr>
          <w:rFonts w:ascii="Times New Roman" w:hAnsi="Times New Roman"/>
          <w:sz w:val="24"/>
          <w:szCs w:val="24"/>
          <w:lang w:val="pt-PT"/>
        </w:rPr>
        <w:t xml:space="preserve">; </w:t>
      </w:r>
      <w:r w:rsidRPr="006865C9">
        <w:rPr>
          <w:rFonts w:ascii="Times New Roman" w:hAnsi="Times New Roman"/>
          <w:sz w:val="24"/>
          <w:szCs w:val="24"/>
          <w:lang w:val="pt-PT"/>
        </w:rPr>
        <w:t>desvantagens</w:t>
      </w:r>
    </w:p>
    <w:p w14:paraId="67130C99" w14:textId="1D84408D" w:rsidR="00D468A1" w:rsidRPr="00BF2C46" w:rsidRDefault="00D468A1" w:rsidP="00BF2C46">
      <w:pPr>
        <w:pStyle w:val="Ttulo1"/>
        <w:tabs>
          <w:tab w:val="left" w:pos="1701"/>
        </w:tabs>
        <w:spacing w:before="0" w:line="360" w:lineRule="auto"/>
        <w:jc w:val="both"/>
        <w:rPr>
          <w:rFonts w:ascii="Times New Roman" w:hAnsi="Times New Roman"/>
          <w:b/>
          <w:bCs/>
          <w:color w:val="000000" w:themeColor="text1"/>
          <w:lang w:val="pt-PT"/>
        </w:rPr>
      </w:pPr>
      <w:r w:rsidRPr="00D468A1">
        <w:rPr>
          <w:rFonts w:ascii="Times New Roman" w:hAnsi="Times New Roman"/>
          <w:b/>
          <w:bCs/>
          <w:color w:val="000000" w:themeColor="text1"/>
          <w:lang w:val="pt-PT"/>
        </w:rPr>
        <w:t>Abstract</w:t>
      </w:r>
    </w:p>
    <w:p w14:paraId="741B961E" w14:textId="7850C6DD" w:rsidR="00D468A1" w:rsidRPr="00D468A1" w:rsidRDefault="002B0A00" w:rsidP="00BF2C46">
      <w:pPr>
        <w:spacing w:after="0" w:line="240" w:lineRule="auto"/>
        <w:jc w:val="both"/>
        <w:rPr>
          <w:rFonts w:ascii="Times New Roman" w:hAnsi="Times New Roman"/>
          <w:sz w:val="24"/>
          <w:szCs w:val="24"/>
        </w:rPr>
      </w:pPr>
      <w:r w:rsidRPr="002B0A00">
        <w:rPr>
          <w:rFonts w:ascii="Times New Roman" w:hAnsi="Times New Roman"/>
          <w:sz w:val="24"/>
          <w:szCs w:val="24"/>
        </w:rPr>
        <w:t>The current scenario presents challenges in terms of global investment projections in the energy sector. New measures to reduce countries' energy dependence should be at the top of the list of importance for decision-makers and public policymakers. In this context, the article aimed to review the most used methodologies in investment analysis, however, not exhaustively, bringing widely used methods. The review evaluated the advantages and disadvantages of the various investment analysis methods found in academic articles and documents from official institutions published between 1979 and 2023. As a result of this analysis, it was found that the choice of tool will depend, above all, on a set of aspects related to decision-making that will converge to the choice that best suits. Until now, research has worked only with the perspective of the rationality of the investment with purely financial criteria. However, there is a growing concern to evaluate not only the profitability of the investment but also to carry out a more integrated approach relating to economic and environmental impacts. This review brought a greater contribution to the current literature, as it shows that different tools cover different effects, which can be an important decision point in choosing the tool.</w:t>
      </w:r>
    </w:p>
    <w:p w14:paraId="5339AA9E" w14:textId="42DDC0F0" w:rsidR="0073142E" w:rsidRDefault="00052411" w:rsidP="00BF2C46">
      <w:pPr>
        <w:spacing w:after="0" w:line="360" w:lineRule="auto"/>
        <w:jc w:val="both"/>
        <w:rPr>
          <w:rFonts w:ascii="Times New Roman" w:hAnsi="Times New Roman"/>
          <w:sz w:val="24"/>
          <w:szCs w:val="24"/>
        </w:rPr>
      </w:pPr>
      <w:r>
        <w:rPr>
          <w:rFonts w:ascii="Times New Roman" w:hAnsi="Times New Roman"/>
          <w:sz w:val="24"/>
          <w:szCs w:val="24"/>
        </w:rPr>
        <w:t xml:space="preserve">Keywords: </w:t>
      </w:r>
      <w:r w:rsidR="005D64FB">
        <w:rPr>
          <w:rFonts w:ascii="Times New Roman" w:hAnsi="Times New Roman"/>
          <w:sz w:val="24"/>
          <w:szCs w:val="24"/>
        </w:rPr>
        <w:t xml:space="preserve">methodologies; </w:t>
      </w:r>
      <w:r>
        <w:rPr>
          <w:rFonts w:ascii="Times New Roman" w:hAnsi="Times New Roman"/>
          <w:sz w:val="24"/>
          <w:szCs w:val="24"/>
        </w:rPr>
        <w:t>investment: advantages; disadvantages</w:t>
      </w:r>
    </w:p>
    <w:p w14:paraId="565E8438" w14:textId="4363733D" w:rsidR="00BF2C46" w:rsidRPr="009A1B43" w:rsidRDefault="00BF2C46" w:rsidP="00BF2C46">
      <w:pPr>
        <w:spacing w:after="0" w:line="240" w:lineRule="auto"/>
        <w:jc w:val="both"/>
        <w:rPr>
          <w:rFonts w:ascii="Times New Roman" w:hAnsi="Times New Roman"/>
          <w:sz w:val="24"/>
          <w:szCs w:val="24"/>
          <w:lang w:val="pt-PT"/>
        </w:rPr>
      </w:pPr>
      <w:r w:rsidRPr="009A1B43">
        <w:rPr>
          <w:rFonts w:ascii="Times New Roman" w:hAnsi="Times New Roman"/>
          <w:sz w:val="24"/>
          <w:szCs w:val="24"/>
          <w:lang w:val="pt-PT"/>
        </w:rPr>
        <w:t>Autoras: Mestre Palloma da Costa e Silva, Universidade FCT/Nova de Lisboa</w:t>
      </w:r>
      <w:r w:rsidR="00802972">
        <w:rPr>
          <w:rFonts w:ascii="Times New Roman" w:hAnsi="Times New Roman"/>
          <w:sz w:val="24"/>
          <w:szCs w:val="24"/>
          <w:lang w:val="pt-PT"/>
        </w:rPr>
        <w:t xml:space="preserve"> *</w:t>
      </w:r>
    </w:p>
    <w:p w14:paraId="03032FDD" w14:textId="664226D8" w:rsidR="00BF2C46" w:rsidRPr="009A1B43" w:rsidRDefault="00BF2C46" w:rsidP="00BF2C46">
      <w:pPr>
        <w:spacing w:after="0" w:line="240" w:lineRule="auto"/>
        <w:jc w:val="both"/>
        <w:rPr>
          <w:rFonts w:ascii="Times New Roman" w:hAnsi="Times New Roman"/>
          <w:sz w:val="24"/>
          <w:szCs w:val="24"/>
          <w:lang w:val="pt-PT"/>
        </w:rPr>
      </w:pPr>
      <w:r w:rsidRPr="009A1B43">
        <w:rPr>
          <w:rFonts w:ascii="Times New Roman" w:hAnsi="Times New Roman"/>
          <w:sz w:val="24"/>
          <w:szCs w:val="24"/>
          <w:lang w:val="pt-PT"/>
        </w:rPr>
        <w:t xml:space="preserve">               Doutora Patrícia Fortes, Universidade FCT/Nova de L</w:t>
      </w:r>
      <w:r w:rsidR="009A1B43" w:rsidRPr="009A1B43">
        <w:rPr>
          <w:rFonts w:ascii="Times New Roman" w:hAnsi="Times New Roman"/>
          <w:sz w:val="24"/>
          <w:szCs w:val="24"/>
          <w:lang w:val="pt-PT"/>
        </w:rPr>
        <w:t>i</w:t>
      </w:r>
      <w:r w:rsidRPr="009A1B43">
        <w:rPr>
          <w:rFonts w:ascii="Times New Roman" w:hAnsi="Times New Roman"/>
          <w:sz w:val="24"/>
          <w:szCs w:val="24"/>
          <w:lang w:val="pt-PT"/>
        </w:rPr>
        <w:t>sboa</w:t>
      </w:r>
      <w:r w:rsidR="009F4716">
        <w:rPr>
          <w:rFonts w:ascii="Times New Roman" w:hAnsi="Times New Roman"/>
          <w:sz w:val="24"/>
          <w:szCs w:val="24"/>
          <w:lang w:val="pt-PT"/>
        </w:rPr>
        <w:t xml:space="preserve"> </w:t>
      </w:r>
      <w:r w:rsidR="00802972">
        <w:rPr>
          <w:rFonts w:ascii="Times New Roman" w:hAnsi="Times New Roman"/>
          <w:sz w:val="24"/>
          <w:szCs w:val="24"/>
          <w:lang w:val="pt-PT"/>
        </w:rPr>
        <w:t>**</w:t>
      </w:r>
    </w:p>
    <w:p w14:paraId="47B49096" w14:textId="12D90FD4" w:rsidR="00BF2C46" w:rsidRPr="009A1B43" w:rsidRDefault="00BF2C46" w:rsidP="00BF2C46">
      <w:pPr>
        <w:spacing w:after="0" w:line="240" w:lineRule="auto"/>
        <w:jc w:val="both"/>
        <w:rPr>
          <w:rFonts w:ascii="Times New Roman" w:hAnsi="Times New Roman"/>
          <w:sz w:val="24"/>
          <w:szCs w:val="24"/>
          <w:lang w:val="pt-PT"/>
        </w:rPr>
      </w:pPr>
      <w:r w:rsidRPr="009A1B43">
        <w:rPr>
          <w:rFonts w:ascii="Times New Roman" w:hAnsi="Times New Roman"/>
          <w:sz w:val="24"/>
          <w:szCs w:val="24"/>
          <w:lang w:val="pt-PT"/>
        </w:rPr>
        <w:t xml:space="preserve">               Prof.ª Doutora Maria Isabel Rebelo T. Soares, Universidade do Por</w:t>
      </w:r>
      <w:r w:rsidRPr="009A1B43">
        <w:rPr>
          <w:rFonts w:ascii="Times New Roman" w:hAnsi="Times New Roman"/>
          <w:sz w:val="24"/>
          <w:szCs w:val="24"/>
          <w:lang w:val="pt-PT"/>
        </w:rPr>
        <w:t>to</w:t>
      </w:r>
      <w:r w:rsidR="009F4716">
        <w:rPr>
          <w:rFonts w:ascii="Times New Roman" w:hAnsi="Times New Roman"/>
          <w:sz w:val="24"/>
          <w:szCs w:val="24"/>
          <w:lang w:val="pt-PT"/>
        </w:rPr>
        <w:t xml:space="preserve"> </w:t>
      </w:r>
      <w:r w:rsidR="00802972">
        <w:rPr>
          <w:rFonts w:ascii="Times New Roman" w:hAnsi="Times New Roman"/>
          <w:sz w:val="24"/>
          <w:szCs w:val="24"/>
          <w:lang w:val="pt-PT"/>
        </w:rPr>
        <w:t>***</w:t>
      </w:r>
    </w:p>
    <w:p w14:paraId="10EDD42C" w14:textId="2C40E5F3" w:rsidR="00BF2C46" w:rsidRDefault="00BF2C46" w:rsidP="00BF2C46">
      <w:pPr>
        <w:spacing w:after="0" w:line="240" w:lineRule="auto"/>
        <w:jc w:val="both"/>
        <w:rPr>
          <w:rFonts w:ascii="Times New Roman" w:hAnsi="Times New Roman"/>
          <w:sz w:val="24"/>
          <w:szCs w:val="24"/>
          <w:lang w:val="pt-PT"/>
        </w:rPr>
      </w:pPr>
      <w:r w:rsidRPr="009A1B43">
        <w:rPr>
          <w:rFonts w:ascii="Times New Roman" w:hAnsi="Times New Roman"/>
          <w:sz w:val="24"/>
          <w:szCs w:val="24"/>
          <w:lang w:val="pt-PT"/>
        </w:rPr>
        <w:t xml:space="preserve">               </w:t>
      </w:r>
      <w:r w:rsidRPr="009A1B43">
        <w:rPr>
          <w:rFonts w:ascii="Times New Roman" w:hAnsi="Times New Roman"/>
          <w:sz w:val="24"/>
          <w:szCs w:val="24"/>
          <w:lang w:val="pt-PT"/>
        </w:rPr>
        <w:t>Profª Doutora Roberta Montello Amaral, Universidade UNIFESO</w:t>
      </w:r>
      <w:r w:rsidR="009F4716">
        <w:rPr>
          <w:rFonts w:ascii="Times New Roman" w:hAnsi="Times New Roman"/>
          <w:sz w:val="24"/>
          <w:szCs w:val="24"/>
          <w:lang w:val="pt-PT"/>
        </w:rPr>
        <w:t xml:space="preserve"> </w:t>
      </w:r>
      <w:r w:rsidR="00802972">
        <w:rPr>
          <w:rFonts w:ascii="Times New Roman" w:hAnsi="Times New Roman"/>
          <w:sz w:val="24"/>
          <w:szCs w:val="24"/>
          <w:lang w:val="pt-PT"/>
        </w:rPr>
        <w:t>****</w:t>
      </w:r>
    </w:p>
    <w:p w14:paraId="3E33A1BB" w14:textId="77777777" w:rsidR="009F4716" w:rsidRPr="009A1B43" w:rsidRDefault="009F4716" w:rsidP="00BF2C46">
      <w:pPr>
        <w:spacing w:after="0" w:line="240" w:lineRule="auto"/>
        <w:jc w:val="both"/>
        <w:rPr>
          <w:rFonts w:ascii="Times New Roman" w:hAnsi="Times New Roman"/>
          <w:sz w:val="24"/>
          <w:szCs w:val="24"/>
          <w:lang w:val="pt-PT"/>
        </w:rPr>
      </w:pPr>
    </w:p>
    <w:p w14:paraId="2D813F7C" w14:textId="6907AB43" w:rsidR="009F4716" w:rsidRDefault="009F4716" w:rsidP="009F4716">
      <w:pPr>
        <w:spacing w:after="0" w:line="240" w:lineRule="auto"/>
        <w:jc w:val="both"/>
        <w:rPr>
          <w:rFonts w:ascii="Times New Roman" w:hAnsi="Times New Roman"/>
          <w:sz w:val="24"/>
          <w:szCs w:val="24"/>
          <w:lang w:val="pt-PT"/>
        </w:rPr>
      </w:pPr>
      <w:r>
        <w:rPr>
          <w:rFonts w:ascii="Times New Roman" w:hAnsi="Times New Roman"/>
          <w:sz w:val="24"/>
          <w:szCs w:val="24"/>
          <w:lang w:val="pt-PT"/>
        </w:rPr>
        <w:t xml:space="preserve">               </w:t>
      </w:r>
      <w:r w:rsidRPr="009F4716">
        <w:rPr>
          <w:rFonts w:ascii="Times New Roman" w:hAnsi="Times New Roman"/>
          <w:sz w:val="24"/>
          <w:szCs w:val="24"/>
          <w:lang w:val="pt-PT"/>
        </w:rPr>
        <w:t>*palloma.silva2012@gmail.com</w:t>
      </w:r>
      <w:r w:rsidR="00802972">
        <w:rPr>
          <w:rFonts w:ascii="Times New Roman" w:hAnsi="Times New Roman"/>
          <w:sz w:val="24"/>
          <w:szCs w:val="24"/>
          <w:lang w:val="pt-PT"/>
        </w:rPr>
        <w:t>;</w:t>
      </w:r>
      <w:r>
        <w:rPr>
          <w:rFonts w:ascii="Times New Roman" w:hAnsi="Times New Roman"/>
          <w:sz w:val="24"/>
          <w:szCs w:val="24"/>
          <w:lang w:val="pt-PT"/>
        </w:rPr>
        <w:t xml:space="preserve"> </w:t>
      </w:r>
      <w:r w:rsidRPr="009F4716">
        <w:rPr>
          <w:rFonts w:ascii="Times New Roman" w:hAnsi="Times New Roman"/>
          <w:sz w:val="24"/>
          <w:szCs w:val="24"/>
          <w:lang w:val="pt-PT"/>
        </w:rPr>
        <w:t>**p.fs@fct.unl.pt</w:t>
      </w:r>
      <w:r w:rsidR="001E5B67">
        <w:rPr>
          <w:rFonts w:ascii="Times New Roman" w:hAnsi="Times New Roman"/>
          <w:sz w:val="24"/>
          <w:szCs w:val="24"/>
          <w:lang w:val="pt-PT"/>
        </w:rPr>
        <w:t>;</w:t>
      </w:r>
      <w:r>
        <w:rPr>
          <w:rFonts w:ascii="Times New Roman" w:hAnsi="Times New Roman"/>
          <w:sz w:val="24"/>
          <w:szCs w:val="24"/>
          <w:lang w:val="pt-PT"/>
        </w:rPr>
        <w:t xml:space="preserve"> </w:t>
      </w:r>
      <w:r w:rsidRPr="009F4716">
        <w:rPr>
          <w:rFonts w:ascii="Times New Roman" w:hAnsi="Times New Roman"/>
          <w:sz w:val="24"/>
          <w:szCs w:val="24"/>
          <w:lang w:val="pt-PT"/>
        </w:rPr>
        <w:t>***isoares@fep.up.pt</w:t>
      </w:r>
      <w:r>
        <w:rPr>
          <w:rFonts w:ascii="Times New Roman" w:hAnsi="Times New Roman"/>
          <w:sz w:val="24"/>
          <w:szCs w:val="24"/>
          <w:lang w:val="pt-PT"/>
        </w:rPr>
        <w:t>;</w:t>
      </w:r>
    </w:p>
    <w:p w14:paraId="2E4634A6" w14:textId="331075F6" w:rsidR="00691500" w:rsidRDefault="009F4716" w:rsidP="009F4716">
      <w:pPr>
        <w:spacing w:after="0" w:line="240" w:lineRule="auto"/>
        <w:jc w:val="both"/>
        <w:rPr>
          <w:rFonts w:ascii="Times New Roman" w:hAnsi="Times New Roman"/>
          <w:sz w:val="24"/>
          <w:szCs w:val="24"/>
          <w:lang w:val="pt-PT"/>
        </w:rPr>
      </w:pPr>
      <w:r>
        <w:rPr>
          <w:rFonts w:ascii="Times New Roman" w:hAnsi="Times New Roman"/>
          <w:sz w:val="24"/>
          <w:szCs w:val="24"/>
          <w:lang w:val="pt-PT"/>
        </w:rPr>
        <w:t xml:space="preserve">               </w:t>
      </w:r>
      <w:r w:rsidR="00691500" w:rsidRPr="00691500">
        <w:rPr>
          <w:rFonts w:ascii="Times New Roman" w:hAnsi="Times New Roman"/>
          <w:sz w:val="24"/>
          <w:szCs w:val="24"/>
          <w:lang w:val="pt-PT"/>
        </w:rPr>
        <w:t>****amaralroberta@yahoo.com.br</w:t>
      </w:r>
    </w:p>
    <w:p w14:paraId="31609319" w14:textId="77777777" w:rsidR="00691500" w:rsidRDefault="00691500">
      <w:pPr>
        <w:rPr>
          <w:rFonts w:ascii="Times New Roman" w:hAnsi="Times New Roman"/>
          <w:sz w:val="24"/>
          <w:szCs w:val="24"/>
          <w:lang w:val="pt-PT"/>
        </w:rPr>
      </w:pPr>
      <w:r>
        <w:rPr>
          <w:rFonts w:ascii="Times New Roman" w:hAnsi="Times New Roman"/>
          <w:sz w:val="24"/>
          <w:szCs w:val="24"/>
          <w:lang w:val="pt-PT"/>
        </w:rPr>
        <w:br w:type="page"/>
      </w:r>
    </w:p>
    <w:p w14:paraId="46A6E072" w14:textId="77777777" w:rsidR="00BF2C46" w:rsidRPr="00BF2C46" w:rsidRDefault="00BF2C46" w:rsidP="009F4716">
      <w:pPr>
        <w:spacing w:after="0" w:line="240" w:lineRule="auto"/>
        <w:jc w:val="both"/>
        <w:rPr>
          <w:rFonts w:ascii="Times New Roman" w:hAnsi="Times New Roman"/>
          <w:sz w:val="24"/>
          <w:szCs w:val="24"/>
          <w:lang w:val="pt-PT"/>
        </w:rPr>
      </w:pPr>
    </w:p>
    <w:p w14:paraId="39E1F430" w14:textId="5323B69D" w:rsidR="00340826" w:rsidRDefault="000F75B6" w:rsidP="00691500">
      <w:pPr>
        <w:pStyle w:val="Ttulo1"/>
        <w:numPr>
          <w:ilvl w:val="0"/>
          <w:numId w:val="1"/>
        </w:numPr>
        <w:spacing w:before="0" w:line="360" w:lineRule="auto"/>
        <w:ind w:left="1134" w:firstLine="709"/>
        <w:jc w:val="both"/>
        <w:rPr>
          <w:rFonts w:ascii="Times New Roman" w:hAnsi="Times New Roman"/>
          <w:color w:val="000000" w:themeColor="text1"/>
        </w:rPr>
      </w:pPr>
      <w:r w:rsidRPr="00E721A4">
        <w:rPr>
          <w:rFonts w:ascii="Times New Roman" w:hAnsi="Times New Roman"/>
          <w:color w:val="000000" w:themeColor="text1"/>
        </w:rPr>
        <w:t>Introdu</w:t>
      </w:r>
      <w:r w:rsidR="00A729FC">
        <w:rPr>
          <w:rFonts w:ascii="Times New Roman" w:hAnsi="Times New Roman"/>
          <w:color w:val="000000" w:themeColor="text1"/>
        </w:rPr>
        <w:t>ção</w:t>
      </w:r>
      <w:r w:rsidR="00340826" w:rsidRPr="00E721A4">
        <w:rPr>
          <w:rFonts w:ascii="Times New Roman" w:hAnsi="Times New Roman"/>
          <w:color w:val="000000" w:themeColor="text1"/>
        </w:rPr>
        <w:t xml:space="preserve"> </w:t>
      </w:r>
    </w:p>
    <w:p w14:paraId="29AF4FC9" w14:textId="2F25ACA4" w:rsidR="00340826" w:rsidRDefault="00340826" w:rsidP="00691500">
      <w:pPr>
        <w:spacing w:after="0" w:line="360" w:lineRule="auto"/>
        <w:ind w:left="1134" w:firstLine="709"/>
        <w:jc w:val="both"/>
      </w:pPr>
    </w:p>
    <w:p w14:paraId="67AAFF2B" w14:textId="6F7596A9" w:rsidR="009F3C09" w:rsidRDefault="009F3C09" w:rsidP="00691500">
      <w:pPr>
        <w:autoSpaceDE w:val="0"/>
        <w:autoSpaceDN w:val="0"/>
        <w:adjustRightInd w:val="0"/>
        <w:spacing w:after="0" w:line="360" w:lineRule="auto"/>
        <w:ind w:left="1134" w:firstLine="709"/>
        <w:jc w:val="both"/>
        <w:rPr>
          <w:rFonts w:ascii="Times New Roman" w:hAnsi="Times New Roman"/>
          <w:color w:val="4472C4" w:themeColor="accent1"/>
          <w:sz w:val="24"/>
          <w:szCs w:val="24"/>
        </w:rPr>
      </w:pPr>
    </w:p>
    <w:p w14:paraId="26E5E667" w14:textId="5CA7D406" w:rsidR="00DA08E4" w:rsidRPr="00DA08E4" w:rsidRDefault="00DA08E4" w:rsidP="00691500">
      <w:pPr>
        <w:autoSpaceDE w:val="0"/>
        <w:autoSpaceDN w:val="0"/>
        <w:adjustRightInd w:val="0"/>
        <w:spacing w:after="0" w:line="360" w:lineRule="auto"/>
        <w:ind w:left="1134" w:firstLine="709"/>
        <w:jc w:val="both"/>
        <w:rPr>
          <w:rFonts w:ascii="Times New Roman" w:hAnsi="Times New Roman"/>
          <w:color w:val="000000" w:themeColor="text1"/>
          <w:sz w:val="24"/>
          <w:szCs w:val="24"/>
          <w:lang w:val="pt-PT"/>
        </w:rPr>
      </w:pPr>
      <w:r w:rsidRPr="00DA08E4">
        <w:rPr>
          <w:rFonts w:ascii="Times New Roman" w:hAnsi="Times New Roman"/>
          <w:color w:val="000000" w:themeColor="text1"/>
          <w:sz w:val="24"/>
          <w:szCs w:val="24"/>
          <w:lang w:val="pt-PT"/>
        </w:rPr>
        <w:t xml:space="preserve">Durante este século, a questão da sustentabilidade relacionada ao consumo de energia é um tema mais recente na agenda política. O mundo também enfrentou alguns desafios nos últimos anos devido à pandemia de COVID-19 e à recente guerra na Ucrânia. A Covid-19 levantou preocupações sobre o processo de transição energética, devido à recessão econômica, impactando também os mercados de energia renovável (por exemplo, investimentos reduzidos, restrições nas cadeias de fornecimento de energia renovável e declínio da demanda). No entanto, a fase pós-pandemia criou novas oportunidades de investimento voltadas para uma “recuperação verde” e desenvolvimento sustentável, com instrumentos de financiamento de apoio a projetos ambientais e de energia renovável </w:t>
      </w:r>
      <w:r w:rsidR="00706C8F">
        <w:rPr>
          <w:rFonts w:ascii="Times New Roman" w:hAnsi="Times New Roman"/>
          <w:color w:val="000000" w:themeColor="text1"/>
          <w:sz w:val="24"/>
          <w:szCs w:val="24"/>
          <w:lang w:val="pt-PT"/>
        </w:rPr>
        <w:fldChar w:fldCharType="begin" w:fldLock="1"/>
      </w:r>
      <w:r w:rsidR="00706C8F">
        <w:rPr>
          <w:rFonts w:ascii="Times New Roman" w:hAnsi="Times New Roman"/>
          <w:color w:val="000000" w:themeColor="text1"/>
          <w:sz w:val="24"/>
          <w:szCs w:val="24"/>
          <w:lang w:val="pt-PT"/>
        </w:rPr>
        <w:instrText>ADDIN CSL_CITATION {"citationItems":[{"id":"ITEM-1","itemData":{"DOI":"10.1016/j.apenergy.2021.118205","ISSN":"03062619","abstract":"The COVID-19 pandemic has created significant challenges for energy transition. Concerns about the overwhelming emphasis on economic recovery at the cost of energy transition progress have been raised worldwide. More voices are calling for “green” recovery scheme, which recovers the economy while not compromising on the environment. However, limited academic attention has been paid to comprehensively investigating the implications of COVID-19 for global energy transition. This study thus provides a comprehensive analysis of the dynamics between energy transition and COVID-19 around the world and proposes a low-carbon energy transition roadmap in the post-pandemic era. Using energy data from the International Energy Agency (IEA), we first summarized and reviewed the progress of energy transition prior to COVID-19. Building on prior progress, we identified the challenges for energy transition during the pandemic from the perspectives of government support, fossil fuel divestment, renewable energy production capacity, global supply chain, and energy poverty. However, the pandemic also generates opportunities for global energy transition. We hence also identified potential opportunities for energy transition presented by the pandemic from the perspectives of price competitiveness, policy implementation efficiency, and renewable energy strengths. We further provided an in-depth discussion on the impact of current worldwide economic recovery stimulus on energy transition. Based on the identified challenges and opportunities, we proposed the post-pandemic energy transition roadmap in terms of broadening green financing instruments, strengthening international cooperation, and enhancing green recovery plans. Our study sheds light on a global low-carbon energy transition framework and has practical implications for green recovery schemes in post-pandemic times.","author":[{"dropping-particle":"","family":"Tian","given":"Jinfang","non-dropping-particle":"","parse-names":false,"suffix":""},{"dropping-particle":"","family":"Yu","given":"Longguang","non-dropping-particle":"","parse-names":false,"suffix":""},{"dropping-particle":"","family":"Xue","given":"Rui","non-dropping-particle":"","parse-names":false,"suffix":""},{"dropping-particle":"","family":"Zhuang","given":"Shan","non-dropping-particle":"","parse-names":false,"suffix":""},{"dropping-particle":"","family":"Shan","given":"Yuli","non-dropping-particle":"","parse-names":false,"suffix":""}],"container-title":"Applied Energy","id":"ITEM-1","issue":"October 2021","issued":{"date-parts":[["2022"]]},"number-of-pages":"118205","publisher":"Elsevier Ltd","title":"Global low-carbon energy transition in the post-COVID-19 era","type":"report","volume":"307"},"uris":["http://www.mendeley.com/documents/?uuid=10eab82a-5333-4a13-b38d-3e3c40200fd7"]}],"mendeley":{"formattedCitation":"(1)","plainTextFormattedCitation":"(1)","previouslyFormattedCitation":"(1)"},"properties":{"noteIndex":0},"schema":"https://github.com/citation-style-language/schema/raw/master/csl-citation.json"}</w:instrText>
      </w:r>
      <w:r w:rsidR="00706C8F">
        <w:rPr>
          <w:rFonts w:ascii="Times New Roman" w:hAnsi="Times New Roman"/>
          <w:color w:val="000000" w:themeColor="text1"/>
          <w:sz w:val="24"/>
          <w:szCs w:val="24"/>
          <w:lang w:val="pt-PT"/>
        </w:rPr>
        <w:fldChar w:fldCharType="separate"/>
      </w:r>
      <w:r w:rsidR="00706C8F" w:rsidRPr="00706C8F">
        <w:rPr>
          <w:rFonts w:ascii="Times New Roman" w:hAnsi="Times New Roman"/>
          <w:noProof/>
          <w:color w:val="000000" w:themeColor="text1"/>
          <w:sz w:val="24"/>
          <w:szCs w:val="24"/>
          <w:lang w:val="pt-PT"/>
        </w:rPr>
        <w:t>(1)</w:t>
      </w:r>
      <w:r w:rsidR="00706C8F">
        <w:rPr>
          <w:rFonts w:ascii="Times New Roman" w:hAnsi="Times New Roman"/>
          <w:color w:val="000000" w:themeColor="text1"/>
          <w:sz w:val="24"/>
          <w:szCs w:val="24"/>
          <w:lang w:val="pt-PT"/>
        </w:rPr>
        <w:fldChar w:fldCharType="end"/>
      </w:r>
      <w:r w:rsidRPr="00DA08E4">
        <w:rPr>
          <w:rFonts w:ascii="Times New Roman" w:hAnsi="Times New Roman"/>
          <w:color w:val="000000" w:themeColor="text1"/>
          <w:sz w:val="24"/>
          <w:szCs w:val="24"/>
          <w:lang w:val="pt-PT"/>
        </w:rPr>
        <w:t>.</w:t>
      </w:r>
    </w:p>
    <w:p w14:paraId="5CC4B3F7" w14:textId="4E3E1335" w:rsidR="00DA08E4" w:rsidRPr="00DA08E4" w:rsidRDefault="00DA08E4" w:rsidP="00691500">
      <w:pPr>
        <w:autoSpaceDE w:val="0"/>
        <w:autoSpaceDN w:val="0"/>
        <w:adjustRightInd w:val="0"/>
        <w:spacing w:after="0" w:line="360" w:lineRule="auto"/>
        <w:ind w:left="1134" w:firstLine="709"/>
        <w:jc w:val="both"/>
        <w:rPr>
          <w:rFonts w:ascii="Times New Roman" w:hAnsi="Times New Roman"/>
          <w:color w:val="000000" w:themeColor="text1"/>
          <w:sz w:val="24"/>
          <w:szCs w:val="24"/>
          <w:lang w:val="pt-PT"/>
        </w:rPr>
      </w:pPr>
      <w:r w:rsidRPr="00DA08E4">
        <w:rPr>
          <w:rFonts w:ascii="Times New Roman" w:hAnsi="Times New Roman"/>
          <w:color w:val="000000" w:themeColor="text1"/>
          <w:sz w:val="24"/>
          <w:szCs w:val="24"/>
          <w:lang w:val="pt-PT"/>
        </w:rPr>
        <w:t xml:space="preserve">Enquanto isso, de acordo com dados do Relatório de Mercado de Eletricidade da IEA de 2022 </w:t>
      </w:r>
      <w:r w:rsidR="00706C8F">
        <w:rPr>
          <w:rFonts w:ascii="Times New Roman" w:hAnsi="Times New Roman"/>
          <w:color w:val="000000" w:themeColor="text1"/>
          <w:sz w:val="24"/>
          <w:szCs w:val="24"/>
          <w:lang w:val="pt-PT"/>
        </w:rPr>
        <w:fldChar w:fldCharType="begin" w:fldLock="1"/>
      </w:r>
      <w:r w:rsidR="00F4019E">
        <w:rPr>
          <w:rFonts w:ascii="Times New Roman" w:hAnsi="Times New Roman"/>
          <w:color w:val="000000" w:themeColor="text1"/>
          <w:sz w:val="24"/>
          <w:szCs w:val="24"/>
          <w:lang w:val="pt-PT"/>
        </w:rPr>
        <w:instrText>ADDIN CSL_CITATION {"citationItems":[{"id":"ITEM-1","itemData":{"abstract":"The year 2021 placed exceptional demands on electricity markets around the world. Strong economic growth, combined with more extreme weather conditions than in 2020, including a colder than average winter, boosted global electricity demand by more than 6% – the largest increase since the recovery from the financial crisis in 2010. The fast rebound in overall energy demand strained supply chains for coal and natural gas, pushing up wholesale electricity prices. Despite the impressive growth of renewable power, electricity generation from coal and gas hit record levels. As a result, the global electricity sector’s annual carbon dioxide emissions leaped to a new all-time high after having decreased for the previous two years. Building on our analysis of these recent events, the January 2022 edition of the IEA Electricity Market Report presents our forecasts for demand, supply and emissions in global electricity markets through 2024. While renewables are set to meet the vast majority of the increase in global electricity demand in the coming years, this trend would only result in a plateauing of emissions from electricity generation. That is insufficient for the power sector to fulfil its critical role as a leading force in the decarbonisation of economies around the world.","author":[{"dropping-particle":"","family":"IEA","given":"International Energy Agency","non-dropping-particle":"","parse-names":false,"suffix":""}],"container-title":"Electricity Market Report","id":"ITEM-1","issue":"January","issued":{"date-parts":[["2022"]]},"title":"Electricity Market Report","type":"report"},"uris":["http://www.mendeley.com/documents/?uuid=1399e875-b531-4e5e-a135-56de6ee2f515"]}],"mendeley":{"formattedCitation":"(2)","plainTextFormattedCitation":"(2)","previouslyFormattedCitation":"(2)"},"properties":{"noteIndex":0},"schema":"https://github.com/citation-style-language/schema/raw/master/csl-citation.json"}</w:instrText>
      </w:r>
      <w:r w:rsidR="00706C8F">
        <w:rPr>
          <w:rFonts w:ascii="Times New Roman" w:hAnsi="Times New Roman"/>
          <w:color w:val="000000" w:themeColor="text1"/>
          <w:sz w:val="24"/>
          <w:szCs w:val="24"/>
          <w:lang w:val="pt-PT"/>
        </w:rPr>
        <w:fldChar w:fldCharType="separate"/>
      </w:r>
      <w:r w:rsidR="00706C8F" w:rsidRPr="00706C8F">
        <w:rPr>
          <w:rFonts w:ascii="Times New Roman" w:hAnsi="Times New Roman"/>
          <w:noProof/>
          <w:color w:val="000000" w:themeColor="text1"/>
          <w:sz w:val="24"/>
          <w:szCs w:val="24"/>
          <w:lang w:val="pt-PT"/>
        </w:rPr>
        <w:t>(2)</w:t>
      </w:r>
      <w:r w:rsidR="00706C8F">
        <w:rPr>
          <w:rFonts w:ascii="Times New Roman" w:hAnsi="Times New Roman"/>
          <w:color w:val="000000" w:themeColor="text1"/>
          <w:sz w:val="24"/>
          <w:szCs w:val="24"/>
          <w:lang w:val="pt-PT"/>
        </w:rPr>
        <w:fldChar w:fldCharType="end"/>
      </w:r>
      <w:r w:rsidRPr="00DA08E4">
        <w:rPr>
          <w:rFonts w:ascii="Times New Roman" w:hAnsi="Times New Roman"/>
          <w:color w:val="000000" w:themeColor="text1"/>
          <w:sz w:val="24"/>
          <w:szCs w:val="24"/>
          <w:lang w:val="pt-PT"/>
        </w:rPr>
        <w:t>, após um crescimento brutal da demanda de eletricidade em 2021, a demanda mundial por eletricidade desaceler</w:t>
      </w:r>
      <w:r w:rsidR="00417A34">
        <w:rPr>
          <w:rFonts w:ascii="Times New Roman" w:hAnsi="Times New Roman"/>
          <w:color w:val="000000" w:themeColor="text1"/>
          <w:sz w:val="24"/>
          <w:szCs w:val="24"/>
          <w:lang w:val="pt-PT"/>
        </w:rPr>
        <w:t>ou</w:t>
      </w:r>
      <w:r w:rsidRPr="00DA08E4">
        <w:rPr>
          <w:rFonts w:ascii="Times New Roman" w:hAnsi="Times New Roman"/>
          <w:color w:val="000000" w:themeColor="text1"/>
          <w:sz w:val="24"/>
          <w:szCs w:val="24"/>
          <w:lang w:val="pt-PT"/>
        </w:rPr>
        <w:t xml:space="preserve"> fortemente em 2022, como resultado do fraco crescimento econômico global e sua preços em alta, pressionados pela invasão russa da Ucrânia. A demanda global de eletricidade reduzi</w:t>
      </w:r>
      <w:r w:rsidR="00417A34">
        <w:rPr>
          <w:rFonts w:ascii="Times New Roman" w:hAnsi="Times New Roman"/>
          <w:color w:val="000000" w:themeColor="text1"/>
          <w:sz w:val="24"/>
          <w:szCs w:val="24"/>
          <w:lang w:val="pt-PT"/>
        </w:rPr>
        <w:t>u</w:t>
      </w:r>
      <w:r w:rsidRPr="00DA08E4">
        <w:rPr>
          <w:rFonts w:ascii="Times New Roman" w:hAnsi="Times New Roman"/>
          <w:color w:val="000000" w:themeColor="text1"/>
          <w:sz w:val="24"/>
          <w:szCs w:val="24"/>
          <w:lang w:val="pt-PT"/>
        </w:rPr>
        <w:t xml:space="preserve"> para 2</w:t>
      </w:r>
      <w:r w:rsidR="00E96A15">
        <w:rPr>
          <w:rFonts w:ascii="Times New Roman" w:hAnsi="Times New Roman"/>
          <w:color w:val="000000" w:themeColor="text1"/>
          <w:sz w:val="24"/>
          <w:szCs w:val="24"/>
          <w:lang w:val="pt-PT"/>
        </w:rPr>
        <w:t>%</w:t>
      </w:r>
      <w:r w:rsidRPr="00DA08E4">
        <w:rPr>
          <w:rFonts w:ascii="Times New Roman" w:hAnsi="Times New Roman"/>
          <w:color w:val="000000" w:themeColor="text1"/>
          <w:sz w:val="24"/>
          <w:szCs w:val="24"/>
          <w:lang w:val="pt-PT"/>
        </w:rPr>
        <w:t xml:space="preserve"> em 2022</w:t>
      </w:r>
      <w:r w:rsidR="00E96A15">
        <w:rPr>
          <w:rFonts w:ascii="Times New Roman" w:hAnsi="Times New Roman"/>
          <w:color w:val="000000" w:themeColor="text1"/>
          <w:sz w:val="24"/>
          <w:szCs w:val="24"/>
          <w:lang w:val="pt-PT"/>
        </w:rPr>
        <w:t>, porém a expectativa de crescimento da demanda por eletricidade cresça para os próximos três anos uma média de</w:t>
      </w:r>
      <w:r w:rsidR="00707C99">
        <w:rPr>
          <w:rFonts w:ascii="Times New Roman" w:hAnsi="Times New Roman"/>
          <w:color w:val="000000" w:themeColor="text1"/>
          <w:sz w:val="24"/>
          <w:szCs w:val="24"/>
          <w:lang w:val="pt-PT"/>
        </w:rPr>
        <w:t xml:space="preserve"> </w:t>
      </w:r>
      <w:r w:rsidR="00E96A15">
        <w:rPr>
          <w:rFonts w:ascii="Times New Roman" w:hAnsi="Times New Roman"/>
          <w:color w:val="000000" w:themeColor="text1"/>
          <w:sz w:val="24"/>
          <w:szCs w:val="24"/>
          <w:lang w:val="pt-PT"/>
        </w:rPr>
        <w:t>3%</w:t>
      </w:r>
      <w:r w:rsidR="00707C99">
        <w:rPr>
          <w:rFonts w:ascii="Times New Roman" w:hAnsi="Times New Roman"/>
          <w:color w:val="000000" w:themeColor="text1"/>
          <w:sz w:val="24"/>
          <w:szCs w:val="24"/>
          <w:lang w:val="pt-PT"/>
        </w:rPr>
        <w:t xml:space="preserve">, segundo </w:t>
      </w:r>
      <w:r w:rsidR="00707C99" w:rsidRPr="00DA08E4">
        <w:rPr>
          <w:rFonts w:ascii="Times New Roman" w:hAnsi="Times New Roman"/>
          <w:color w:val="000000" w:themeColor="text1"/>
          <w:sz w:val="24"/>
          <w:szCs w:val="24"/>
          <w:lang w:val="pt-PT"/>
        </w:rPr>
        <w:t xml:space="preserve">Relatório de Mercado de Eletricidade da IEA </w:t>
      </w:r>
      <w:r w:rsidR="00707C99">
        <w:rPr>
          <w:rFonts w:ascii="Times New Roman" w:hAnsi="Times New Roman"/>
          <w:color w:val="000000" w:themeColor="text1"/>
          <w:sz w:val="24"/>
          <w:szCs w:val="24"/>
          <w:lang w:val="pt-PT"/>
        </w:rPr>
        <w:t>2023</w:t>
      </w:r>
      <w:r w:rsidR="00E96A15">
        <w:rPr>
          <w:rFonts w:ascii="Times New Roman" w:hAnsi="Times New Roman"/>
          <w:color w:val="000000" w:themeColor="text1"/>
          <w:sz w:val="24"/>
          <w:szCs w:val="24"/>
          <w:lang w:val="pt-PT"/>
        </w:rPr>
        <w:t xml:space="preserve"> </w:t>
      </w:r>
      <w:r w:rsidR="00707C99">
        <w:rPr>
          <w:rFonts w:ascii="Times New Roman" w:hAnsi="Times New Roman"/>
          <w:color w:val="000000" w:themeColor="text1"/>
          <w:sz w:val="24"/>
          <w:szCs w:val="24"/>
          <w:lang w:val="pt-PT"/>
        </w:rPr>
        <w:fldChar w:fldCharType="begin" w:fldLock="1"/>
      </w:r>
      <w:r w:rsidR="00F4019E">
        <w:rPr>
          <w:rFonts w:ascii="Times New Roman" w:hAnsi="Times New Roman"/>
          <w:color w:val="000000" w:themeColor="text1"/>
          <w:sz w:val="24"/>
          <w:szCs w:val="24"/>
          <w:lang w:val="pt-PT"/>
        </w:rPr>
        <w:instrText>ADDIN CSL_CITATION {"citationItems":[{"id":"ITEM-1","itemData":{"DOI":"10.1787/f0aed4e6-en","abstract":"Electricity is central to many parts of life in modern societies and will become even more so as its role in transport and heating expands through technologies such as electric vehicles and heat pumps. Power generation is currently the largest source of carbon dioxide (CO 2) emissions globally, but it is also the sector that is leading the transition to net zero emissions through the rapid ramping up of renewables such as solar and wind. At the same time, the current global energy crisis has placed electricity security and affordability high on the political agenda in many countries. The International Energy Agency’s Electricity Market Report 2023 offers a deep analysis of recent policies, trends and market developments. It also provides forecasts through 2025 for electricity demand, supply and CO 2 emissions – with a detailed study of the evolving generation mix. This year’s report contains a comprehensive analysis of developments in Europe, which faced a variety of energy crises in 2022. The Asia Pacific region also receives special focus, with its fast -growing electricity demand and accelerating clean energy deployment. The IEA’s Electricity Market Report has been published since 2020. Its relevance goes beyond energy and climate issues, since electricity supply impacts economies, regional development, the budgets of businesses and households, and many other areas. It is indispensable reading for anyone interested in the multifaceted importance of energy in our economies and societies today.","author":[{"dropping-particle":"","family":"IEA","given":"","non-dropping-particle":"","parse-names":false,"suffix":""}],"container-title":"Electricity Market Report","id":"ITEM-1","issued":{"date-parts":[["2023"]]},"title":"Electricity Market Report 2023","type":"report"},"uris":["http://www.mendeley.com/documents/?uuid=e50fc515-fc49-44d4-9b6d-7bbc071214cc"]}],"mendeley":{"formattedCitation":"(3)","plainTextFormattedCitation":"(3)","previouslyFormattedCitation":"(3)"},"properties":{"noteIndex":0},"schema":"https://github.com/citation-style-language/schema/raw/master/csl-citation.json"}</w:instrText>
      </w:r>
      <w:r w:rsidR="00707C99">
        <w:rPr>
          <w:rFonts w:ascii="Times New Roman" w:hAnsi="Times New Roman"/>
          <w:color w:val="000000" w:themeColor="text1"/>
          <w:sz w:val="24"/>
          <w:szCs w:val="24"/>
          <w:lang w:val="pt-PT"/>
        </w:rPr>
        <w:fldChar w:fldCharType="separate"/>
      </w:r>
      <w:r w:rsidR="00706C8F" w:rsidRPr="00706C8F">
        <w:rPr>
          <w:rFonts w:ascii="Times New Roman" w:hAnsi="Times New Roman"/>
          <w:noProof/>
          <w:color w:val="000000" w:themeColor="text1"/>
          <w:sz w:val="24"/>
          <w:szCs w:val="24"/>
          <w:lang w:val="pt-PT"/>
        </w:rPr>
        <w:t>(3)</w:t>
      </w:r>
      <w:r w:rsidR="00707C99">
        <w:rPr>
          <w:rFonts w:ascii="Times New Roman" w:hAnsi="Times New Roman"/>
          <w:color w:val="000000" w:themeColor="text1"/>
          <w:sz w:val="24"/>
          <w:szCs w:val="24"/>
          <w:lang w:val="pt-PT"/>
        </w:rPr>
        <w:fldChar w:fldCharType="end"/>
      </w:r>
      <w:r w:rsidRPr="00DA08E4">
        <w:rPr>
          <w:rFonts w:ascii="Times New Roman" w:hAnsi="Times New Roman"/>
          <w:color w:val="000000" w:themeColor="text1"/>
          <w:sz w:val="24"/>
          <w:szCs w:val="24"/>
          <w:lang w:val="pt-PT"/>
        </w:rPr>
        <w:t xml:space="preserve">, não acompanhando o ritmo de 2021, que cresceu 6%, com base na taxa média de crescimento pré-pandemia de cinco anos. O relatório também acrescenta que a geração global de energia renovável </w:t>
      </w:r>
      <w:r w:rsidR="00E96A15">
        <w:rPr>
          <w:rFonts w:ascii="Times New Roman" w:hAnsi="Times New Roman"/>
          <w:color w:val="000000" w:themeColor="text1"/>
          <w:sz w:val="24"/>
          <w:szCs w:val="24"/>
          <w:lang w:val="pt-PT"/>
        </w:rPr>
        <w:t xml:space="preserve">aumente de 29% </w:t>
      </w:r>
      <w:r w:rsidRPr="00DA08E4">
        <w:rPr>
          <w:rFonts w:ascii="Times New Roman" w:hAnsi="Times New Roman"/>
          <w:color w:val="000000" w:themeColor="text1"/>
          <w:sz w:val="24"/>
          <w:szCs w:val="24"/>
          <w:lang w:val="pt-PT"/>
        </w:rPr>
        <w:t>em 2022</w:t>
      </w:r>
      <w:r w:rsidR="00E96A15">
        <w:rPr>
          <w:rFonts w:ascii="Times New Roman" w:hAnsi="Times New Roman"/>
          <w:color w:val="000000" w:themeColor="text1"/>
          <w:sz w:val="24"/>
          <w:szCs w:val="24"/>
          <w:lang w:val="pt-PT"/>
        </w:rPr>
        <w:t xml:space="preserve"> para 35% em 2025 com queda n</w:t>
      </w:r>
      <w:r w:rsidRPr="00DA08E4">
        <w:rPr>
          <w:rFonts w:ascii="Times New Roman" w:hAnsi="Times New Roman"/>
          <w:color w:val="000000" w:themeColor="text1"/>
          <w:sz w:val="24"/>
          <w:szCs w:val="24"/>
          <w:lang w:val="pt-PT"/>
        </w:rPr>
        <w:t>a geração de combustíveis fósseis</w:t>
      </w:r>
      <w:r w:rsidR="00E96A15">
        <w:rPr>
          <w:rFonts w:ascii="Times New Roman" w:hAnsi="Times New Roman"/>
          <w:color w:val="000000" w:themeColor="text1"/>
          <w:sz w:val="24"/>
          <w:szCs w:val="24"/>
          <w:lang w:val="pt-PT"/>
        </w:rPr>
        <w:t xml:space="preserve"> como o gás e o carvão</w:t>
      </w:r>
      <w:r w:rsidRPr="00DA08E4">
        <w:rPr>
          <w:rFonts w:ascii="Times New Roman" w:hAnsi="Times New Roman"/>
          <w:color w:val="000000" w:themeColor="text1"/>
          <w:sz w:val="24"/>
          <w:szCs w:val="24"/>
          <w:lang w:val="pt-PT"/>
        </w:rPr>
        <w:t xml:space="preserve">. </w:t>
      </w:r>
      <w:r w:rsidR="00E96A15">
        <w:rPr>
          <w:rFonts w:ascii="Times New Roman" w:hAnsi="Times New Roman"/>
          <w:color w:val="000000" w:themeColor="text1"/>
          <w:sz w:val="24"/>
          <w:szCs w:val="24"/>
          <w:lang w:val="pt-PT"/>
        </w:rPr>
        <w:t>A</w:t>
      </w:r>
      <w:r w:rsidRPr="00DA08E4">
        <w:rPr>
          <w:rFonts w:ascii="Times New Roman" w:hAnsi="Times New Roman"/>
          <w:color w:val="000000" w:themeColor="text1"/>
          <w:sz w:val="24"/>
          <w:szCs w:val="24"/>
          <w:lang w:val="pt-PT"/>
        </w:rPr>
        <w:t>s emissões de gases de efeito estufa</w:t>
      </w:r>
      <w:r w:rsidR="00E96A15">
        <w:rPr>
          <w:rFonts w:ascii="Times New Roman" w:hAnsi="Times New Roman"/>
          <w:color w:val="000000" w:themeColor="text1"/>
          <w:sz w:val="24"/>
          <w:szCs w:val="24"/>
          <w:lang w:val="pt-PT"/>
        </w:rPr>
        <w:t xml:space="preserve"> </w:t>
      </w:r>
      <w:r w:rsidR="00140CE0">
        <w:rPr>
          <w:rFonts w:ascii="Times New Roman" w:hAnsi="Times New Roman"/>
          <w:color w:val="000000" w:themeColor="text1"/>
          <w:sz w:val="24"/>
          <w:szCs w:val="24"/>
          <w:lang w:val="pt-PT"/>
        </w:rPr>
        <w:t xml:space="preserve">de geração de energia </w:t>
      </w:r>
      <w:r w:rsidR="00E96A15">
        <w:rPr>
          <w:rFonts w:ascii="Times New Roman" w:hAnsi="Times New Roman"/>
          <w:color w:val="000000" w:themeColor="text1"/>
          <w:sz w:val="24"/>
          <w:szCs w:val="24"/>
          <w:lang w:val="pt-PT"/>
        </w:rPr>
        <w:t>na Europa devem reduzir em 10% a.a até 2025</w:t>
      </w:r>
      <w:r w:rsidRPr="00DA08E4">
        <w:rPr>
          <w:rFonts w:ascii="Times New Roman" w:hAnsi="Times New Roman"/>
          <w:color w:val="000000" w:themeColor="text1"/>
          <w:sz w:val="24"/>
          <w:szCs w:val="24"/>
          <w:lang w:val="pt-PT"/>
        </w:rPr>
        <w:t>.</w:t>
      </w:r>
      <w:r w:rsidR="00E96A15">
        <w:rPr>
          <w:rFonts w:ascii="Times New Roman" w:hAnsi="Times New Roman"/>
          <w:color w:val="000000" w:themeColor="text1"/>
          <w:sz w:val="24"/>
          <w:szCs w:val="24"/>
          <w:lang w:val="pt-PT"/>
        </w:rPr>
        <w:t xml:space="preserve"> </w:t>
      </w:r>
      <w:r w:rsidRPr="00DA08E4">
        <w:rPr>
          <w:rFonts w:ascii="Times New Roman" w:hAnsi="Times New Roman"/>
          <w:color w:val="000000" w:themeColor="text1"/>
          <w:sz w:val="24"/>
          <w:szCs w:val="24"/>
          <w:lang w:val="pt-PT"/>
        </w:rPr>
        <w:t xml:space="preserve">O World Energy </w:t>
      </w:r>
      <w:r w:rsidR="00706C8F">
        <w:rPr>
          <w:rFonts w:ascii="Times New Roman" w:hAnsi="Times New Roman"/>
          <w:color w:val="000000" w:themeColor="text1"/>
          <w:sz w:val="24"/>
          <w:szCs w:val="24"/>
          <w:lang w:val="pt-PT"/>
        </w:rPr>
        <w:t xml:space="preserve">Transitions </w:t>
      </w:r>
      <w:r w:rsidR="00907DEE" w:rsidRPr="00DA08E4">
        <w:rPr>
          <w:rFonts w:ascii="Times New Roman" w:hAnsi="Times New Roman"/>
          <w:color w:val="000000" w:themeColor="text1"/>
          <w:sz w:val="24"/>
          <w:szCs w:val="24"/>
          <w:lang w:val="pt-PT"/>
        </w:rPr>
        <w:t>Outlook</w:t>
      </w:r>
      <w:r w:rsidR="00706C8F">
        <w:rPr>
          <w:rFonts w:ascii="Times New Roman" w:hAnsi="Times New Roman"/>
          <w:color w:val="000000" w:themeColor="text1"/>
          <w:sz w:val="24"/>
          <w:szCs w:val="24"/>
          <w:lang w:val="pt-PT"/>
        </w:rPr>
        <w:t xml:space="preserve"> </w:t>
      </w:r>
      <w:r w:rsidR="00907DEE">
        <w:rPr>
          <w:rFonts w:ascii="Times New Roman" w:hAnsi="Times New Roman"/>
          <w:color w:val="000000" w:themeColor="text1"/>
          <w:sz w:val="24"/>
          <w:szCs w:val="24"/>
          <w:lang w:val="pt-PT"/>
        </w:rPr>
        <w:t>2023</w:t>
      </w:r>
      <w:r w:rsidRPr="00DA08E4">
        <w:rPr>
          <w:rFonts w:ascii="Times New Roman" w:hAnsi="Times New Roman"/>
          <w:color w:val="000000" w:themeColor="text1"/>
          <w:sz w:val="24"/>
          <w:szCs w:val="24"/>
          <w:lang w:val="pt-PT"/>
        </w:rPr>
        <w:t xml:space="preserve"> </w:t>
      </w:r>
      <w:r w:rsidR="00707C99">
        <w:rPr>
          <w:rFonts w:ascii="Times New Roman" w:hAnsi="Times New Roman"/>
          <w:color w:val="000000" w:themeColor="text1"/>
          <w:sz w:val="24"/>
          <w:szCs w:val="24"/>
          <w:lang w:val="pt-PT"/>
        </w:rPr>
        <w:t>da IRENA</w:t>
      </w:r>
      <w:r w:rsidR="00706C8F">
        <w:rPr>
          <w:rFonts w:ascii="Times New Roman" w:hAnsi="Times New Roman"/>
          <w:color w:val="000000" w:themeColor="text1"/>
          <w:sz w:val="24"/>
          <w:szCs w:val="24"/>
          <w:lang w:val="pt-PT"/>
        </w:rPr>
        <w:fldChar w:fldCharType="begin" w:fldLock="1"/>
      </w:r>
      <w:r w:rsidR="00F4019E">
        <w:rPr>
          <w:rFonts w:ascii="Times New Roman" w:hAnsi="Times New Roman"/>
          <w:color w:val="000000" w:themeColor="text1"/>
          <w:sz w:val="24"/>
          <w:szCs w:val="24"/>
          <w:lang w:val="pt-PT"/>
        </w:rPr>
        <w:instrText>ADDIN CSL_CITATION {"citationItems":[{"id":"ITEM-1","itemData":{"ISBN":"9789292603342","ISSN":"00141011","abstract":"Provides a summary of the salient points from the Exxon World Energy Outlook to 2000. Suggests that a lower rate of economic growth is likely, at 3% p.a. as opposed to 3.3% between 1973-1979, and 5.3% between 1965-1973. Then reviews the implications of a transition from current energy patterns to those likely by 2000. This involves a consideration of energy demand and supply conditions, and an assumption that by then there will be a reduced dependence upon conventional oil supplies. -P.J.Shoebridge","author":[{"dropping-particle":"","family":"International Renewable Energy Agency (IRENA)","given":"","non-dropping-particle":"","parse-names":false,"suffix":""}],"container-title":"World Energy Transitions","id":"ITEM-1","issued":{"date-parts":[["2023"]]},"number-of-pages":"1-54","title":"World energy transitions outlook 2023","type":"report"},"uris":["http://www.mendeley.com/documents/?uuid=8a58610d-58cb-4fc7-85e9-921a5ff97b3f"]}],"mendeley":{"formattedCitation":"(4)","plainTextFormattedCitation":"(4)","previouslyFormattedCitation":"(4)"},"properties":{"noteIndex":0},"schema":"https://github.com/citation-style-language/schema/raw/master/csl-citation.json"}</w:instrText>
      </w:r>
      <w:r w:rsidR="00706C8F">
        <w:rPr>
          <w:rFonts w:ascii="Times New Roman" w:hAnsi="Times New Roman"/>
          <w:color w:val="000000" w:themeColor="text1"/>
          <w:sz w:val="24"/>
          <w:szCs w:val="24"/>
          <w:lang w:val="pt-PT"/>
        </w:rPr>
        <w:fldChar w:fldCharType="separate"/>
      </w:r>
      <w:r w:rsidR="00706C8F" w:rsidRPr="00706C8F">
        <w:rPr>
          <w:rFonts w:ascii="Times New Roman" w:hAnsi="Times New Roman"/>
          <w:noProof/>
          <w:color w:val="000000" w:themeColor="text1"/>
          <w:sz w:val="24"/>
          <w:szCs w:val="24"/>
          <w:lang w:val="pt-PT"/>
        </w:rPr>
        <w:t>(4)</w:t>
      </w:r>
      <w:r w:rsidR="00706C8F">
        <w:rPr>
          <w:rFonts w:ascii="Times New Roman" w:hAnsi="Times New Roman"/>
          <w:color w:val="000000" w:themeColor="text1"/>
          <w:sz w:val="24"/>
          <w:szCs w:val="24"/>
          <w:lang w:val="pt-PT"/>
        </w:rPr>
        <w:fldChar w:fldCharType="end"/>
      </w:r>
      <w:r w:rsidR="00707C99">
        <w:rPr>
          <w:rFonts w:ascii="Times New Roman" w:hAnsi="Times New Roman"/>
          <w:color w:val="000000" w:themeColor="text1"/>
          <w:sz w:val="24"/>
          <w:szCs w:val="24"/>
          <w:lang w:val="pt-PT"/>
        </w:rPr>
        <w:t xml:space="preserve"> </w:t>
      </w:r>
      <w:r w:rsidRPr="00DA08E4">
        <w:rPr>
          <w:rFonts w:ascii="Times New Roman" w:hAnsi="Times New Roman"/>
          <w:color w:val="000000" w:themeColor="text1"/>
          <w:sz w:val="24"/>
          <w:szCs w:val="24"/>
          <w:lang w:val="pt-PT"/>
        </w:rPr>
        <w:t xml:space="preserve">aponta que os investimentos </w:t>
      </w:r>
      <w:r w:rsidR="008935EB" w:rsidRPr="008935EB">
        <w:rPr>
          <w:rFonts w:ascii="Times New Roman" w:hAnsi="Times New Roman"/>
          <w:color w:val="000000" w:themeColor="text1"/>
          <w:sz w:val="24"/>
          <w:szCs w:val="24"/>
          <w:lang w:val="pt-PT"/>
        </w:rPr>
        <w:t>em energia renovável continua</w:t>
      </w:r>
      <w:r w:rsidR="008935EB">
        <w:rPr>
          <w:rFonts w:ascii="Times New Roman" w:hAnsi="Times New Roman"/>
          <w:color w:val="000000" w:themeColor="text1"/>
          <w:sz w:val="24"/>
          <w:szCs w:val="24"/>
          <w:lang w:val="pt-PT"/>
        </w:rPr>
        <w:t>m</w:t>
      </w:r>
      <w:r w:rsidR="008935EB" w:rsidRPr="008935EB">
        <w:rPr>
          <w:rFonts w:ascii="Times New Roman" w:hAnsi="Times New Roman"/>
          <w:color w:val="000000" w:themeColor="text1"/>
          <w:sz w:val="24"/>
          <w:szCs w:val="24"/>
          <w:lang w:val="pt-PT"/>
        </w:rPr>
        <w:t xml:space="preserve"> concentrado</w:t>
      </w:r>
      <w:r w:rsidR="00987F24">
        <w:rPr>
          <w:rFonts w:ascii="Times New Roman" w:hAnsi="Times New Roman"/>
          <w:color w:val="000000" w:themeColor="text1"/>
          <w:sz w:val="24"/>
          <w:szCs w:val="24"/>
          <w:lang w:val="pt-PT"/>
        </w:rPr>
        <w:t>s</w:t>
      </w:r>
      <w:r w:rsidR="008935EB" w:rsidRPr="008935EB">
        <w:rPr>
          <w:rFonts w:ascii="Times New Roman" w:hAnsi="Times New Roman"/>
          <w:color w:val="000000" w:themeColor="text1"/>
          <w:sz w:val="24"/>
          <w:szCs w:val="24"/>
          <w:lang w:val="pt-PT"/>
        </w:rPr>
        <w:t xml:space="preserve"> em um número limitado de países e focado </w:t>
      </w:r>
      <w:r w:rsidR="008935EB">
        <w:rPr>
          <w:rFonts w:ascii="Times New Roman" w:hAnsi="Times New Roman"/>
          <w:color w:val="000000" w:themeColor="text1"/>
          <w:sz w:val="24"/>
          <w:szCs w:val="24"/>
          <w:lang w:val="pt-PT"/>
        </w:rPr>
        <w:t xml:space="preserve">principalmente nas </w:t>
      </w:r>
      <w:r w:rsidR="008935EB" w:rsidRPr="008935EB">
        <w:rPr>
          <w:rFonts w:ascii="Times New Roman" w:hAnsi="Times New Roman"/>
          <w:color w:val="000000" w:themeColor="text1"/>
          <w:sz w:val="24"/>
          <w:szCs w:val="24"/>
          <w:lang w:val="pt-PT"/>
        </w:rPr>
        <w:t>tecnologias</w:t>
      </w:r>
      <w:r w:rsidR="008935EB">
        <w:rPr>
          <w:rFonts w:ascii="Times New Roman" w:hAnsi="Times New Roman"/>
          <w:color w:val="000000" w:themeColor="text1"/>
          <w:sz w:val="24"/>
          <w:szCs w:val="24"/>
          <w:lang w:val="pt-PT"/>
        </w:rPr>
        <w:t xml:space="preserve"> eólicas e</w:t>
      </w:r>
      <w:r w:rsidR="00707C99">
        <w:rPr>
          <w:rFonts w:ascii="Times New Roman" w:hAnsi="Times New Roman"/>
          <w:color w:val="000000" w:themeColor="text1"/>
          <w:sz w:val="24"/>
          <w:szCs w:val="24"/>
          <w:lang w:val="pt-PT"/>
        </w:rPr>
        <w:t xml:space="preserve"> </w:t>
      </w:r>
      <w:r w:rsidR="008935EB">
        <w:rPr>
          <w:rFonts w:ascii="Times New Roman" w:hAnsi="Times New Roman"/>
          <w:color w:val="000000" w:themeColor="text1"/>
          <w:sz w:val="24"/>
          <w:szCs w:val="24"/>
          <w:lang w:val="pt-PT"/>
        </w:rPr>
        <w:t>fotovoltáica que representam 95% dos inves</w:t>
      </w:r>
      <w:r w:rsidR="00987F24">
        <w:rPr>
          <w:rFonts w:ascii="Times New Roman" w:hAnsi="Times New Roman"/>
          <w:color w:val="000000" w:themeColor="text1"/>
          <w:sz w:val="24"/>
          <w:szCs w:val="24"/>
          <w:lang w:val="pt-PT"/>
        </w:rPr>
        <w:t>t</w:t>
      </w:r>
      <w:r w:rsidR="008935EB">
        <w:rPr>
          <w:rFonts w:ascii="Times New Roman" w:hAnsi="Times New Roman"/>
          <w:color w:val="000000" w:themeColor="text1"/>
          <w:sz w:val="24"/>
          <w:szCs w:val="24"/>
          <w:lang w:val="pt-PT"/>
        </w:rPr>
        <w:t xml:space="preserve">imentos em enrgias renováveis, precisando aumentar investimentos nas demais energias limpas e </w:t>
      </w:r>
      <w:r w:rsidR="00987F24">
        <w:rPr>
          <w:rFonts w:ascii="Times New Roman" w:hAnsi="Times New Roman"/>
          <w:color w:val="000000" w:themeColor="text1"/>
          <w:sz w:val="24"/>
          <w:szCs w:val="24"/>
          <w:lang w:val="pt-PT"/>
        </w:rPr>
        <w:t xml:space="preserve">mais nos </w:t>
      </w:r>
      <w:r w:rsidR="008935EB">
        <w:rPr>
          <w:rFonts w:ascii="Times New Roman" w:hAnsi="Times New Roman"/>
          <w:color w:val="000000" w:themeColor="text1"/>
          <w:sz w:val="24"/>
          <w:szCs w:val="24"/>
          <w:lang w:val="pt-PT"/>
        </w:rPr>
        <w:t>países em desenvolvimento</w:t>
      </w:r>
      <w:r w:rsidR="008935EB" w:rsidRPr="008935EB">
        <w:rPr>
          <w:rFonts w:ascii="Times New Roman" w:hAnsi="Times New Roman"/>
          <w:color w:val="000000" w:themeColor="text1"/>
          <w:sz w:val="24"/>
          <w:szCs w:val="24"/>
          <w:lang w:val="pt-PT"/>
        </w:rPr>
        <w:t xml:space="preserve">. </w:t>
      </w:r>
      <w:r w:rsidR="008935EB">
        <w:rPr>
          <w:rFonts w:ascii="Times New Roman" w:hAnsi="Times New Roman"/>
          <w:color w:val="000000" w:themeColor="text1"/>
          <w:sz w:val="24"/>
          <w:szCs w:val="24"/>
          <w:lang w:val="pt-PT"/>
        </w:rPr>
        <w:t>O investimento</w:t>
      </w:r>
      <w:r w:rsidRPr="00DA08E4">
        <w:rPr>
          <w:rFonts w:ascii="Times New Roman" w:hAnsi="Times New Roman"/>
          <w:color w:val="000000" w:themeColor="text1"/>
          <w:sz w:val="24"/>
          <w:szCs w:val="24"/>
          <w:lang w:val="pt-PT"/>
        </w:rPr>
        <w:t xml:space="preserve"> </w:t>
      </w:r>
      <w:r w:rsidR="008935EB">
        <w:rPr>
          <w:rFonts w:ascii="Times New Roman" w:hAnsi="Times New Roman"/>
          <w:color w:val="000000" w:themeColor="text1"/>
          <w:sz w:val="24"/>
          <w:szCs w:val="24"/>
          <w:lang w:val="pt-PT"/>
        </w:rPr>
        <w:t xml:space="preserve">global em ER </w:t>
      </w:r>
      <w:r w:rsidRPr="00DA08E4">
        <w:rPr>
          <w:rFonts w:ascii="Times New Roman" w:hAnsi="Times New Roman"/>
          <w:color w:val="000000" w:themeColor="text1"/>
          <w:sz w:val="24"/>
          <w:szCs w:val="24"/>
          <w:lang w:val="pt-PT"/>
        </w:rPr>
        <w:t>responde</w:t>
      </w:r>
      <w:r w:rsidR="008935EB">
        <w:rPr>
          <w:rFonts w:ascii="Times New Roman" w:hAnsi="Times New Roman"/>
          <w:color w:val="000000" w:themeColor="text1"/>
          <w:sz w:val="24"/>
          <w:szCs w:val="24"/>
          <w:lang w:val="pt-PT"/>
        </w:rPr>
        <w:t xml:space="preserve">ram </w:t>
      </w:r>
      <w:r w:rsidRPr="00DA08E4">
        <w:rPr>
          <w:rFonts w:ascii="Times New Roman" w:hAnsi="Times New Roman"/>
          <w:color w:val="000000" w:themeColor="text1"/>
          <w:sz w:val="24"/>
          <w:szCs w:val="24"/>
          <w:lang w:val="pt-PT"/>
        </w:rPr>
        <w:t>por mais de 8</w:t>
      </w:r>
      <w:r w:rsidR="00907DEE">
        <w:rPr>
          <w:rFonts w:ascii="Times New Roman" w:hAnsi="Times New Roman"/>
          <w:color w:val="000000" w:themeColor="text1"/>
          <w:sz w:val="24"/>
          <w:szCs w:val="24"/>
          <w:lang w:val="pt-PT"/>
        </w:rPr>
        <w:t>3</w:t>
      </w:r>
      <w:r w:rsidRPr="00DA08E4">
        <w:rPr>
          <w:rFonts w:ascii="Times New Roman" w:hAnsi="Times New Roman"/>
          <w:color w:val="000000" w:themeColor="text1"/>
          <w:sz w:val="24"/>
          <w:szCs w:val="24"/>
          <w:lang w:val="pt-PT"/>
        </w:rPr>
        <w:t>% d</w:t>
      </w:r>
      <w:r w:rsidR="00907DEE">
        <w:rPr>
          <w:rFonts w:ascii="Times New Roman" w:hAnsi="Times New Roman"/>
          <w:color w:val="000000" w:themeColor="text1"/>
          <w:sz w:val="24"/>
          <w:szCs w:val="24"/>
          <w:lang w:val="pt-PT"/>
        </w:rPr>
        <w:t>as adições de capacidade e 40% de geração de energia instalada em 2022</w:t>
      </w:r>
      <w:r w:rsidRPr="00DA08E4">
        <w:rPr>
          <w:rFonts w:ascii="Times New Roman" w:hAnsi="Times New Roman"/>
          <w:color w:val="000000" w:themeColor="text1"/>
          <w:sz w:val="24"/>
          <w:szCs w:val="24"/>
          <w:lang w:val="pt-PT"/>
        </w:rPr>
        <w:t xml:space="preserve"> no setor energético mundial. Embora </w:t>
      </w:r>
      <w:r w:rsidR="00987F24">
        <w:rPr>
          <w:rFonts w:ascii="Times New Roman" w:hAnsi="Times New Roman"/>
          <w:color w:val="000000" w:themeColor="text1"/>
          <w:sz w:val="24"/>
          <w:szCs w:val="24"/>
          <w:lang w:val="pt-PT"/>
        </w:rPr>
        <w:t xml:space="preserve">tenham </w:t>
      </w:r>
      <w:r w:rsidR="00987F24">
        <w:rPr>
          <w:rFonts w:ascii="Times New Roman" w:hAnsi="Times New Roman"/>
          <w:color w:val="000000" w:themeColor="text1"/>
          <w:sz w:val="24"/>
          <w:szCs w:val="24"/>
          <w:lang w:val="pt-PT"/>
        </w:rPr>
        <w:lastRenderedPageBreak/>
        <w:t xml:space="preserve">tido em 2022 um </w:t>
      </w:r>
      <w:r w:rsidR="00F4019E">
        <w:rPr>
          <w:rFonts w:ascii="Times New Roman" w:hAnsi="Times New Roman"/>
          <w:color w:val="000000" w:themeColor="text1"/>
          <w:sz w:val="24"/>
          <w:szCs w:val="24"/>
          <w:lang w:val="pt-PT"/>
        </w:rPr>
        <w:t xml:space="preserve">aumento do </w:t>
      </w:r>
      <w:r w:rsidR="00987F24">
        <w:rPr>
          <w:rFonts w:ascii="Times New Roman" w:hAnsi="Times New Roman"/>
          <w:color w:val="000000" w:themeColor="text1"/>
          <w:sz w:val="24"/>
          <w:szCs w:val="24"/>
          <w:lang w:val="pt-PT"/>
        </w:rPr>
        <w:t xml:space="preserve">investimento recorde de US$ 1.3 trilhoes </w:t>
      </w:r>
      <w:r w:rsidRPr="00DA08E4">
        <w:rPr>
          <w:rFonts w:ascii="Times New Roman" w:hAnsi="Times New Roman"/>
          <w:color w:val="000000" w:themeColor="text1"/>
          <w:sz w:val="24"/>
          <w:szCs w:val="24"/>
          <w:lang w:val="pt-PT"/>
        </w:rPr>
        <w:t>perceb</w:t>
      </w:r>
      <w:r w:rsidR="00987F24">
        <w:rPr>
          <w:rFonts w:ascii="Times New Roman" w:hAnsi="Times New Roman"/>
          <w:color w:val="000000" w:themeColor="text1"/>
          <w:sz w:val="24"/>
          <w:szCs w:val="24"/>
          <w:lang w:val="pt-PT"/>
        </w:rPr>
        <w:t xml:space="preserve">e se que para manter se na meta de 1,5º Celsius </w:t>
      </w:r>
      <w:r w:rsidR="00F4019E">
        <w:rPr>
          <w:rFonts w:ascii="Times New Roman" w:hAnsi="Times New Roman"/>
          <w:color w:val="000000" w:themeColor="text1"/>
          <w:sz w:val="24"/>
          <w:szCs w:val="24"/>
          <w:lang w:val="pt-PT"/>
        </w:rPr>
        <w:t>e</w:t>
      </w:r>
      <w:r w:rsidR="00706C8F">
        <w:rPr>
          <w:rFonts w:ascii="Times New Roman" w:hAnsi="Times New Roman"/>
          <w:color w:val="000000" w:themeColor="text1"/>
          <w:sz w:val="24"/>
          <w:szCs w:val="24"/>
          <w:lang w:val="pt-PT"/>
        </w:rPr>
        <w:t xml:space="preserve"> atender às metas </w:t>
      </w:r>
      <w:r w:rsidR="00987F24">
        <w:rPr>
          <w:rFonts w:ascii="Times New Roman" w:hAnsi="Times New Roman"/>
          <w:color w:val="000000" w:themeColor="text1"/>
          <w:sz w:val="24"/>
          <w:szCs w:val="24"/>
          <w:lang w:val="pt-PT"/>
        </w:rPr>
        <w:t>das alterações climáticas, o investimento global</w:t>
      </w:r>
      <w:r w:rsidR="00706C8F">
        <w:rPr>
          <w:rFonts w:ascii="Times New Roman" w:hAnsi="Times New Roman"/>
          <w:color w:val="000000" w:themeColor="text1"/>
          <w:sz w:val="24"/>
          <w:szCs w:val="24"/>
          <w:lang w:val="pt-PT"/>
        </w:rPr>
        <w:t xml:space="preserve"> em ER</w:t>
      </w:r>
      <w:r w:rsidR="00987F24">
        <w:rPr>
          <w:rFonts w:ascii="Times New Roman" w:hAnsi="Times New Roman"/>
          <w:color w:val="000000" w:themeColor="text1"/>
          <w:sz w:val="24"/>
          <w:szCs w:val="24"/>
          <w:lang w:val="pt-PT"/>
        </w:rPr>
        <w:t xml:space="preserve"> deve ser aumentado </w:t>
      </w:r>
      <w:r w:rsidR="00F4019E">
        <w:rPr>
          <w:rFonts w:ascii="Times New Roman" w:hAnsi="Times New Roman"/>
          <w:color w:val="000000" w:themeColor="text1"/>
          <w:sz w:val="24"/>
          <w:szCs w:val="24"/>
          <w:lang w:val="pt-PT"/>
        </w:rPr>
        <w:t xml:space="preserve">em média </w:t>
      </w:r>
      <w:r w:rsidR="00987F24">
        <w:rPr>
          <w:rFonts w:ascii="Times New Roman" w:hAnsi="Times New Roman"/>
          <w:color w:val="000000" w:themeColor="text1"/>
          <w:sz w:val="24"/>
          <w:szCs w:val="24"/>
          <w:lang w:val="pt-PT"/>
        </w:rPr>
        <w:t>US$ 5 trilhoes</w:t>
      </w:r>
      <w:r w:rsidR="00706C8F">
        <w:rPr>
          <w:rFonts w:ascii="Times New Roman" w:hAnsi="Times New Roman"/>
          <w:color w:val="000000" w:themeColor="text1"/>
          <w:sz w:val="24"/>
          <w:szCs w:val="24"/>
          <w:lang w:val="pt-PT"/>
        </w:rPr>
        <w:t xml:space="preserve"> </w:t>
      </w:r>
      <w:r w:rsidR="00F4019E">
        <w:rPr>
          <w:rFonts w:ascii="Times New Roman" w:hAnsi="Times New Roman"/>
          <w:color w:val="000000" w:themeColor="text1"/>
          <w:sz w:val="24"/>
          <w:szCs w:val="24"/>
          <w:lang w:val="pt-PT"/>
        </w:rPr>
        <w:t xml:space="preserve">anuais </w:t>
      </w:r>
      <w:r w:rsidR="00706C8F">
        <w:rPr>
          <w:rFonts w:ascii="Times New Roman" w:hAnsi="Times New Roman"/>
          <w:color w:val="000000" w:themeColor="text1"/>
          <w:sz w:val="24"/>
          <w:szCs w:val="24"/>
          <w:lang w:val="pt-PT"/>
        </w:rPr>
        <w:t>até 2050.</w:t>
      </w:r>
    </w:p>
    <w:p w14:paraId="242B9BFD" w14:textId="07E8B46E" w:rsidR="00DA08E4" w:rsidRPr="00DA08E4" w:rsidRDefault="00DA08E4" w:rsidP="00691500">
      <w:pPr>
        <w:autoSpaceDE w:val="0"/>
        <w:autoSpaceDN w:val="0"/>
        <w:adjustRightInd w:val="0"/>
        <w:spacing w:after="0" w:line="360" w:lineRule="auto"/>
        <w:ind w:left="1134" w:firstLine="709"/>
        <w:jc w:val="both"/>
        <w:rPr>
          <w:rFonts w:ascii="Times New Roman" w:hAnsi="Times New Roman"/>
          <w:sz w:val="24"/>
          <w:szCs w:val="24"/>
          <w:lang w:val="pt-PT"/>
        </w:rPr>
      </w:pPr>
      <w:r w:rsidRPr="00DA08E4">
        <w:rPr>
          <w:rFonts w:ascii="Times New Roman" w:hAnsi="Times New Roman"/>
          <w:color w:val="000000" w:themeColor="text1"/>
          <w:sz w:val="24"/>
          <w:szCs w:val="24"/>
          <w:lang w:val="pt-PT"/>
        </w:rPr>
        <w:t>Segundo artigo publicado recentemente pelo FMI em agosto de 2022</w:t>
      </w:r>
      <w:r w:rsidR="00F4019E">
        <w:rPr>
          <w:rFonts w:ascii="Times New Roman" w:hAnsi="Times New Roman"/>
          <w:color w:val="000000" w:themeColor="text1"/>
          <w:sz w:val="24"/>
          <w:szCs w:val="24"/>
          <w:lang w:val="pt-PT"/>
        </w:rPr>
        <w:t xml:space="preserve"> </w:t>
      </w:r>
      <w:r w:rsidR="00F4019E">
        <w:rPr>
          <w:rFonts w:ascii="Times New Roman" w:hAnsi="Times New Roman"/>
          <w:color w:val="000000" w:themeColor="text1"/>
          <w:sz w:val="24"/>
          <w:szCs w:val="24"/>
          <w:lang w:val="pt-PT"/>
        </w:rPr>
        <w:fldChar w:fldCharType="begin" w:fldLock="1"/>
      </w:r>
      <w:r w:rsidR="00F4019E">
        <w:rPr>
          <w:rFonts w:ascii="Times New Roman" w:hAnsi="Times New Roman"/>
          <w:color w:val="000000" w:themeColor="text1"/>
          <w:sz w:val="24"/>
          <w:szCs w:val="24"/>
          <w:lang w:val="pt-PT"/>
        </w:rPr>
        <w:instrText>ADDIN CSL_CITATION {"citationItems":[{"id":"ITEM-1","itemData":{"URL":"https://www.imf.org/en/Blogs/Articles/2022/08/18/public-sector-must-play-major-role-in-catalyzing-private-climate-finance","accessed":{"date-parts":[["2023","1","24"]]},"author":[{"dropping-particle":"","family":"IMF Blog","given":"","non-dropping-particle":"","parse-names":false,"suffix":""}],"container-title":"August 18, 2022","id":"ITEM-1","issued":{"date-parts":[["2022"]]},"title":"Public Sector Must Play Major Role in Catalyzing Private Climate Finance","type":"webpage"},"uris":["http://www.mendeley.com/documents/?uuid=37d7b1d3-e085-41c3-85d4-6fcec691d5d3"]}],"mendeley":{"formattedCitation":"(5)","plainTextFormattedCitation":"(5)","previouslyFormattedCitation":"(5)"},"properties":{"noteIndex":0},"schema":"https://github.com/citation-style-language/schema/raw/master/csl-citation.json"}</w:instrText>
      </w:r>
      <w:r w:rsidR="00F4019E">
        <w:rPr>
          <w:rFonts w:ascii="Times New Roman" w:hAnsi="Times New Roman"/>
          <w:color w:val="000000" w:themeColor="text1"/>
          <w:sz w:val="24"/>
          <w:szCs w:val="24"/>
          <w:lang w:val="pt-PT"/>
        </w:rPr>
        <w:fldChar w:fldCharType="separate"/>
      </w:r>
      <w:r w:rsidR="00F4019E" w:rsidRPr="00F4019E">
        <w:rPr>
          <w:rFonts w:ascii="Times New Roman" w:hAnsi="Times New Roman"/>
          <w:noProof/>
          <w:color w:val="000000" w:themeColor="text1"/>
          <w:sz w:val="24"/>
          <w:szCs w:val="24"/>
          <w:lang w:val="pt-PT"/>
        </w:rPr>
        <w:t>(5)</w:t>
      </w:r>
      <w:r w:rsidR="00F4019E">
        <w:rPr>
          <w:rFonts w:ascii="Times New Roman" w:hAnsi="Times New Roman"/>
          <w:color w:val="000000" w:themeColor="text1"/>
          <w:sz w:val="24"/>
          <w:szCs w:val="24"/>
          <w:lang w:val="pt-PT"/>
        </w:rPr>
        <w:fldChar w:fldCharType="end"/>
      </w:r>
      <w:r w:rsidR="00F4019E">
        <w:rPr>
          <w:rFonts w:ascii="Times New Roman" w:hAnsi="Times New Roman"/>
          <w:color w:val="000000" w:themeColor="text1"/>
          <w:sz w:val="24"/>
          <w:szCs w:val="24"/>
          <w:lang w:val="pt-PT"/>
        </w:rPr>
        <w:t xml:space="preserve"> </w:t>
      </w:r>
      <w:r w:rsidRPr="00DA08E4">
        <w:rPr>
          <w:rFonts w:ascii="Times New Roman" w:hAnsi="Times New Roman"/>
          <w:color w:val="000000" w:themeColor="text1"/>
          <w:sz w:val="24"/>
          <w:szCs w:val="24"/>
          <w:lang w:val="pt-PT"/>
        </w:rPr>
        <w:t>confirma uma das lacunas que tem sido o foco global atual, que são os altos custos de energia e alimentos, além dos riscos sociais que fazem diferenças sociais mais graves em todo o mundo.</w:t>
      </w:r>
      <w:r>
        <w:rPr>
          <w:rFonts w:ascii="Times New Roman" w:hAnsi="Times New Roman"/>
          <w:color w:val="000000" w:themeColor="text1"/>
          <w:sz w:val="24"/>
          <w:szCs w:val="24"/>
          <w:lang w:val="pt-PT"/>
        </w:rPr>
        <w:t xml:space="preserve"> </w:t>
      </w:r>
      <w:bookmarkStart w:id="0" w:name="_Hlk127030707"/>
      <w:r w:rsidRPr="00DA08E4">
        <w:rPr>
          <w:rFonts w:ascii="Times New Roman" w:hAnsi="Times New Roman"/>
          <w:sz w:val="24"/>
          <w:szCs w:val="24"/>
          <w:lang w:val="pt-PT"/>
        </w:rPr>
        <w:t>Segundo dados do FMI</w:t>
      </w:r>
      <w:r w:rsidR="00F4019E">
        <w:rPr>
          <w:rFonts w:ascii="Times New Roman" w:hAnsi="Times New Roman"/>
          <w:sz w:val="24"/>
          <w:szCs w:val="24"/>
          <w:lang w:val="pt-PT"/>
        </w:rPr>
        <w:t xml:space="preserve"> </w:t>
      </w:r>
      <w:r w:rsidR="00F4019E">
        <w:rPr>
          <w:rFonts w:ascii="Times New Roman" w:hAnsi="Times New Roman"/>
          <w:sz w:val="24"/>
          <w:szCs w:val="24"/>
          <w:lang w:val="pt-PT"/>
        </w:rPr>
        <w:fldChar w:fldCharType="begin" w:fldLock="1"/>
      </w:r>
      <w:r w:rsidR="0072226E">
        <w:rPr>
          <w:rFonts w:ascii="Times New Roman" w:hAnsi="Times New Roman"/>
          <w:sz w:val="24"/>
          <w:szCs w:val="24"/>
          <w:lang w:val="pt-PT"/>
        </w:rPr>
        <w:instrText>ADDIN CSL_CITATION {"citationItems":[{"id":"ITEM-1","itemData":{"URL":"https://www.imf.org/en/Blogs/Articles/2022/08/18/public-sector-must-play-major-role-in-catalyzing-private-climate-finance","accessed":{"date-parts":[["2023","1","24"]]},"author":[{"dropping-particle":"","family":"IMF Blog","given":"","non-dropping-particle":"","parse-names":false,"suffix":""}],"container-title":"August 18, 2022","id":"ITEM-1","issued":{"date-parts":[["2022"]]},"title":"Public Sector Must Play Major Role in Catalyzing Private Climate Finance","type":"webpage"},"uris":["http://www.mendeley.com/documents/?uuid=37d7b1d3-e085-41c3-85d4-6fcec691d5d3"]}],"mendeley":{"formattedCitation":"(5)","plainTextFormattedCitation":"(5)","previouslyFormattedCitation":"(5)"},"properties":{"noteIndex":0},"schema":"https://github.com/citation-style-language/schema/raw/master/csl-citation.json"}</w:instrText>
      </w:r>
      <w:r w:rsidR="00F4019E">
        <w:rPr>
          <w:rFonts w:ascii="Times New Roman" w:hAnsi="Times New Roman"/>
          <w:sz w:val="24"/>
          <w:szCs w:val="24"/>
          <w:lang w:val="pt-PT"/>
        </w:rPr>
        <w:fldChar w:fldCharType="separate"/>
      </w:r>
      <w:r w:rsidR="00F4019E" w:rsidRPr="00F4019E">
        <w:rPr>
          <w:rFonts w:ascii="Times New Roman" w:hAnsi="Times New Roman"/>
          <w:noProof/>
          <w:sz w:val="24"/>
          <w:szCs w:val="24"/>
          <w:lang w:val="pt-PT"/>
        </w:rPr>
        <w:t>(5)</w:t>
      </w:r>
      <w:r w:rsidR="00F4019E">
        <w:rPr>
          <w:rFonts w:ascii="Times New Roman" w:hAnsi="Times New Roman"/>
          <w:sz w:val="24"/>
          <w:szCs w:val="24"/>
          <w:lang w:val="pt-PT"/>
        </w:rPr>
        <w:fldChar w:fldCharType="end"/>
      </w:r>
      <w:r w:rsidRPr="00DA08E4">
        <w:rPr>
          <w:rFonts w:ascii="Times New Roman" w:hAnsi="Times New Roman"/>
          <w:sz w:val="24"/>
          <w:szCs w:val="24"/>
          <w:lang w:val="pt-PT"/>
        </w:rPr>
        <w:t>, será fundamental investir fortemente em projetos de mitigação e adaptação para enfrentar os desafios das mudanças climáticas e vulnerabilidade a choques. Segundo informações do FMI</w:t>
      </w:r>
      <w:r w:rsidR="00F4019E">
        <w:rPr>
          <w:rFonts w:ascii="Times New Roman" w:hAnsi="Times New Roman"/>
          <w:sz w:val="24"/>
          <w:szCs w:val="24"/>
          <w:lang w:val="pt-PT"/>
        </w:rPr>
        <w:t xml:space="preserve"> em 2022 já previa a necessidade </w:t>
      </w:r>
      <w:r w:rsidR="0072226E">
        <w:rPr>
          <w:rFonts w:ascii="Times New Roman" w:hAnsi="Times New Roman"/>
          <w:sz w:val="24"/>
          <w:szCs w:val="24"/>
          <w:lang w:val="pt-PT"/>
        </w:rPr>
        <w:t>de investimento</w:t>
      </w:r>
      <w:r w:rsidRPr="00DA08E4">
        <w:rPr>
          <w:rFonts w:ascii="Times New Roman" w:hAnsi="Times New Roman"/>
          <w:sz w:val="24"/>
          <w:szCs w:val="24"/>
          <w:lang w:val="pt-PT"/>
        </w:rPr>
        <w:t xml:space="preserve">, </w:t>
      </w:r>
      <w:r w:rsidR="0072226E">
        <w:rPr>
          <w:rFonts w:ascii="Times New Roman" w:hAnsi="Times New Roman"/>
          <w:sz w:val="24"/>
          <w:szCs w:val="24"/>
          <w:lang w:val="pt-PT"/>
        </w:rPr>
        <w:t>informando serem</w:t>
      </w:r>
      <w:r w:rsidRPr="00DA08E4">
        <w:rPr>
          <w:rFonts w:ascii="Times New Roman" w:hAnsi="Times New Roman"/>
          <w:sz w:val="24"/>
          <w:szCs w:val="24"/>
          <w:lang w:val="pt-PT"/>
        </w:rPr>
        <w:t xml:space="preserve"> necessários cerca de US$ 3 trilhões a US$ 6 trilhões por ano até 2050 contra os atuais US$ 630 bilhões, verificando-se assim uma grande lacuna no valor a ser investido até 2050.</w:t>
      </w:r>
    </w:p>
    <w:p w14:paraId="380C0663" w14:textId="79A7B97D" w:rsidR="00DA08E4" w:rsidRPr="00DA08E4" w:rsidRDefault="00DA08E4" w:rsidP="00691500">
      <w:pPr>
        <w:autoSpaceDE w:val="0"/>
        <w:autoSpaceDN w:val="0"/>
        <w:adjustRightInd w:val="0"/>
        <w:spacing w:after="0" w:line="360" w:lineRule="auto"/>
        <w:ind w:left="1134" w:firstLine="709"/>
        <w:jc w:val="both"/>
        <w:rPr>
          <w:rFonts w:ascii="Times New Roman" w:hAnsi="Times New Roman"/>
          <w:sz w:val="24"/>
          <w:szCs w:val="24"/>
          <w:lang w:val="pt-PT"/>
        </w:rPr>
      </w:pPr>
      <w:r w:rsidRPr="00DA08E4">
        <w:rPr>
          <w:rFonts w:ascii="Times New Roman" w:hAnsi="Times New Roman"/>
          <w:sz w:val="24"/>
          <w:szCs w:val="24"/>
          <w:lang w:val="pt-PT"/>
        </w:rPr>
        <w:t xml:space="preserve">Até recentemente, os países desenvolvidos não consideravam as </w:t>
      </w:r>
      <w:r w:rsidR="00417A34">
        <w:rPr>
          <w:rFonts w:ascii="Times New Roman" w:hAnsi="Times New Roman"/>
          <w:sz w:val="24"/>
          <w:szCs w:val="24"/>
          <w:lang w:val="pt-PT"/>
        </w:rPr>
        <w:t>energias renováveis (</w:t>
      </w:r>
      <w:r>
        <w:rPr>
          <w:rFonts w:ascii="Times New Roman" w:hAnsi="Times New Roman"/>
          <w:sz w:val="24"/>
          <w:szCs w:val="24"/>
          <w:lang w:val="pt-PT"/>
        </w:rPr>
        <w:t>ER</w:t>
      </w:r>
      <w:r w:rsidR="00417A34">
        <w:rPr>
          <w:rFonts w:ascii="Times New Roman" w:hAnsi="Times New Roman"/>
          <w:sz w:val="24"/>
          <w:szCs w:val="24"/>
          <w:lang w:val="pt-PT"/>
        </w:rPr>
        <w:t>)</w:t>
      </w:r>
      <w:r w:rsidRPr="00DA08E4">
        <w:rPr>
          <w:rFonts w:ascii="Times New Roman" w:hAnsi="Times New Roman"/>
          <w:sz w:val="24"/>
          <w:szCs w:val="24"/>
          <w:lang w:val="pt-PT"/>
        </w:rPr>
        <w:t xml:space="preserve"> uma alternativa completa às tecnologias convencionais de geração de eletricidade, apesar de seu compromisso com o crescimento das E</w:t>
      </w:r>
      <w:r w:rsidR="00417A34">
        <w:rPr>
          <w:rFonts w:ascii="Times New Roman" w:hAnsi="Times New Roman"/>
          <w:sz w:val="24"/>
          <w:szCs w:val="24"/>
          <w:lang w:val="pt-PT"/>
        </w:rPr>
        <w:t>R</w:t>
      </w:r>
      <w:r w:rsidRPr="00DA08E4">
        <w:rPr>
          <w:rFonts w:ascii="Times New Roman" w:hAnsi="Times New Roman"/>
          <w:sz w:val="24"/>
          <w:szCs w:val="24"/>
          <w:lang w:val="pt-PT"/>
        </w:rPr>
        <w:t xml:space="preserve"> devido à sua contribuição essencial para o meio ambiente</w:t>
      </w:r>
      <w:r w:rsidR="0072226E">
        <w:rPr>
          <w:rFonts w:ascii="Times New Roman" w:hAnsi="Times New Roman"/>
          <w:sz w:val="24"/>
          <w:szCs w:val="24"/>
          <w:lang w:val="pt-PT"/>
        </w:rPr>
        <w:t xml:space="preserve"> </w:t>
      </w:r>
      <w:r w:rsidR="0072226E">
        <w:rPr>
          <w:rFonts w:ascii="Times New Roman" w:hAnsi="Times New Roman"/>
          <w:sz w:val="24"/>
          <w:szCs w:val="24"/>
          <w:lang w:val="pt-PT"/>
        </w:rPr>
        <w:fldChar w:fldCharType="begin" w:fldLock="1"/>
      </w:r>
      <w:r w:rsidR="009E44D6">
        <w:rPr>
          <w:rFonts w:ascii="Times New Roman" w:hAnsi="Times New Roman"/>
          <w:sz w:val="24"/>
          <w:szCs w:val="24"/>
          <w:lang w:val="pt-PT"/>
        </w:rPr>
        <w:instrText>ADDIN CSL_CITATION {"citationItems":[{"id":"ITEM-1","itemData":{"DOI":"10.1016/j.enpol.2021.112184","ISSN":"03014215","abstract":"This study examines the determinants of renewable energy investment, focusing on government orientation, nature of government system and government policy. Considering three possible ideologies of the ruling party including left, right and centre and two possible natures of the government system including presidential and parliamentary system, this research employs a panel data of 60 countries. This research is the first to examine the effect of nature of government system on renewable energy investment, using a sample from both developed and non-developed countries. The results confirm that both the left and central-orientated ruling party promote renewable energy investment more than a right-orientated government. Although the presidential system has greater ability to enact environmental policies quicker, the result suggests that the parliamentarian system has a better effect on promoting renewable energy investment. In an interesting result, the study finds that developed countries do not consider renewables to be an alternative to the conventional method of electricity production. In this case, developed countries are committed to the growth in renewable because they find investment in these renewables essential for the environment. Finally, the study establishes that the effectiveness of government support policies depend on the type of technology or the sub-group.","author":[{"dropping-particle":"","family":"Abban","given":"Abdul Rashid","non-dropping-particle":"","parse-names":false,"suffix":""},{"dropping-particle":"","family":"Hasan","given":"Mohammad Zahid","non-dropping-particle":"","parse-names":false,"suffix":""}],"container-title":"Energy Policy","id":"ITEM-1","issue":"December 2020","issued":{"date-parts":[["2021"]]},"number-of-pages":"112184","publisher":"Elsevier Ltd","title":"Revisiting the determinants of renewable energy investment - New evidence from political and government ideology","type":"report","volume":"151"},"uris":["http://www.mendeley.com/documents/?uuid=9e4d0927-7cd6-4f7b-85cf-ae4c5b90afab"]}],"mendeley":{"formattedCitation":"(6)","plainTextFormattedCitation":"(6)","previouslyFormattedCitation":"(6)"},"properties":{"noteIndex":0},"schema":"https://github.com/citation-style-language/schema/raw/master/csl-citation.json"}</w:instrText>
      </w:r>
      <w:r w:rsidR="0072226E">
        <w:rPr>
          <w:rFonts w:ascii="Times New Roman" w:hAnsi="Times New Roman"/>
          <w:sz w:val="24"/>
          <w:szCs w:val="24"/>
          <w:lang w:val="pt-PT"/>
        </w:rPr>
        <w:fldChar w:fldCharType="separate"/>
      </w:r>
      <w:r w:rsidR="0072226E" w:rsidRPr="0072226E">
        <w:rPr>
          <w:rFonts w:ascii="Times New Roman" w:hAnsi="Times New Roman"/>
          <w:noProof/>
          <w:sz w:val="24"/>
          <w:szCs w:val="24"/>
          <w:lang w:val="pt-PT"/>
        </w:rPr>
        <w:t>(6)</w:t>
      </w:r>
      <w:r w:rsidR="0072226E">
        <w:rPr>
          <w:rFonts w:ascii="Times New Roman" w:hAnsi="Times New Roman"/>
          <w:sz w:val="24"/>
          <w:szCs w:val="24"/>
          <w:lang w:val="pt-PT"/>
        </w:rPr>
        <w:fldChar w:fldCharType="end"/>
      </w:r>
      <w:r w:rsidRPr="00DA08E4">
        <w:rPr>
          <w:rFonts w:ascii="Times New Roman" w:hAnsi="Times New Roman"/>
          <w:sz w:val="24"/>
          <w:szCs w:val="24"/>
          <w:lang w:val="pt-PT"/>
        </w:rPr>
        <w:t>. Entretanto, o cenário mudou em termos de urgência e maior necessidade de aumentar os investimentos em ER, após o desenrolar da guerra na Ucrânia em 2022, principalmente para os países da UE, em termos de dependência energética de combustíveis fósseis</w:t>
      </w:r>
      <w:r w:rsidR="009E44D6">
        <w:rPr>
          <w:rFonts w:ascii="Times New Roman" w:hAnsi="Times New Roman"/>
          <w:sz w:val="24"/>
          <w:szCs w:val="24"/>
          <w:lang w:val="pt-PT"/>
        </w:rPr>
        <w:t xml:space="preserve"> </w:t>
      </w:r>
      <w:r w:rsidR="009E44D6">
        <w:rPr>
          <w:rFonts w:ascii="Times New Roman" w:hAnsi="Times New Roman"/>
          <w:sz w:val="24"/>
          <w:szCs w:val="24"/>
          <w:lang w:val="pt-PT"/>
        </w:rPr>
        <w:fldChar w:fldCharType="begin" w:fldLock="1"/>
      </w:r>
      <w:r w:rsidR="00B22B1F">
        <w:rPr>
          <w:rFonts w:ascii="Times New Roman" w:hAnsi="Times New Roman"/>
          <w:sz w:val="24"/>
          <w:szCs w:val="24"/>
          <w:lang w:val="pt-PT"/>
        </w:rPr>
        <w:instrText>ADDIN CSL_CITATION {"citationItems":[{"id":"ITEM-1","itemData":{"DOI":"10.1787/faf30e5a-en","abstract":"This report is a market update on the IEA’s most recent five-year renewable energy forecast, Renewables 2019, published in October 2019. It provides an early analysis of the drivers and challenges since last October, and covers renewable capacity additions for all technologies and transport biofuel production expected during 2020 and 2021. An update on renewable heat technologies is also included; however, the analysis is qualitative due to limited data availability. Given ongoing uncertainty, the forecasts for 2020 and 2021 will be updated in the second half of the year to reassess recent market and policy developments.","author":[{"dropping-particle":"","family":"IEA","given":"International Energy Agency","non-dropping-particle":"","parse-names":false,"suffix":""}],"container-title":"Renewable Energy Market Update","id":"ITEM-1","issued":{"date-parts":[["2022"]]},"title":"Renewable Energy Market Update","type":"report"},"uris":["http://www.mendeley.com/documents/?uuid=02ea0c2d-cec8-48e2-b5d9-f786c31d4425"]}],"mendeley":{"formattedCitation":"(7)","plainTextFormattedCitation":"(7)","previouslyFormattedCitation":"(7)"},"properties":{"noteIndex":0},"schema":"https://github.com/citation-style-language/schema/raw/master/csl-citation.json"}</w:instrText>
      </w:r>
      <w:r w:rsidR="009E44D6">
        <w:rPr>
          <w:rFonts w:ascii="Times New Roman" w:hAnsi="Times New Roman"/>
          <w:sz w:val="24"/>
          <w:szCs w:val="24"/>
          <w:lang w:val="pt-PT"/>
        </w:rPr>
        <w:fldChar w:fldCharType="separate"/>
      </w:r>
      <w:r w:rsidR="009E44D6" w:rsidRPr="009E44D6">
        <w:rPr>
          <w:rFonts w:ascii="Times New Roman" w:hAnsi="Times New Roman"/>
          <w:noProof/>
          <w:sz w:val="24"/>
          <w:szCs w:val="24"/>
          <w:lang w:val="pt-PT"/>
        </w:rPr>
        <w:t>(7)</w:t>
      </w:r>
      <w:r w:rsidR="009E44D6">
        <w:rPr>
          <w:rFonts w:ascii="Times New Roman" w:hAnsi="Times New Roman"/>
          <w:sz w:val="24"/>
          <w:szCs w:val="24"/>
          <w:lang w:val="pt-PT"/>
        </w:rPr>
        <w:fldChar w:fldCharType="end"/>
      </w:r>
      <w:r w:rsidRPr="00DA08E4">
        <w:rPr>
          <w:rFonts w:ascii="Times New Roman" w:hAnsi="Times New Roman"/>
          <w:sz w:val="24"/>
          <w:szCs w:val="24"/>
          <w:lang w:val="pt-PT"/>
        </w:rPr>
        <w:t>.</w:t>
      </w:r>
    </w:p>
    <w:p w14:paraId="6B04C5A9" w14:textId="3D9545F1" w:rsidR="00DA08E4" w:rsidRPr="00DA08E4" w:rsidRDefault="00DA08E4" w:rsidP="00691500">
      <w:pPr>
        <w:autoSpaceDE w:val="0"/>
        <w:autoSpaceDN w:val="0"/>
        <w:adjustRightInd w:val="0"/>
        <w:spacing w:after="0" w:line="360" w:lineRule="auto"/>
        <w:ind w:left="1134" w:firstLine="709"/>
        <w:jc w:val="both"/>
        <w:rPr>
          <w:rFonts w:ascii="Times New Roman" w:hAnsi="Times New Roman"/>
          <w:sz w:val="24"/>
          <w:szCs w:val="24"/>
          <w:lang w:val="pt-PT"/>
        </w:rPr>
      </w:pPr>
      <w:r w:rsidRPr="00DA08E4">
        <w:rPr>
          <w:rFonts w:ascii="Times New Roman" w:hAnsi="Times New Roman"/>
          <w:sz w:val="24"/>
          <w:szCs w:val="24"/>
          <w:lang w:val="pt-PT"/>
        </w:rPr>
        <w:t>De acordo com a publicação do briefing realizado pelo European Parliament Research Service (EPRS)</w:t>
      </w:r>
      <w:r w:rsidR="0072226E">
        <w:rPr>
          <w:rFonts w:ascii="Times New Roman" w:hAnsi="Times New Roman"/>
          <w:sz w:val="24"/>
          <w:szCs w:val="24"/>
          <w:lang w:val="pt-PT"/>
        </w:rPr>
        <w:t xml:space="preserve"> </w:t>
      </w:r>
      <w:r w:rsidR="0072226E">
        <w:rPr>
          <w:rFonts w:ascii="Times New Roman" w:hAnsi="Times New Roman"/>
          <w:sz w:val="24"/>
          <w:szCs w:val="24"/>
          <w:lang w:val="pt-PT"/>
        </w:rPr>
        <w:fldChar w:fldCharType="begin" w:fldLock="1"/>
      </w:r>
      <w:r w:rsidR="00B22B1F">
        <w:rPr>
          <w:rFonts w:ascii="Times New Roman" w:hAnsi="Times New Roman"/>
          <w:sz w:val="24"/>
          <w:szCs w:val="24"/>
          <w:lang w:val="pt-PT"/>
        </w:rPr>
        <w:instrText>ADDIN CSL_CITATION {"citationItems":[{"id":"ITEM-1","itemData":{"abstract":"EN Portugal's National Recovery and Resilience Plan Latest state of play OVERALL RESOURCES Portugal is set to receive €16.6 billion in both non-repayable support and loans 1 from the Recovery and Resilience Facility (RRF), the unprecedented EU response to the crisis triggered by the coronavirus pandemic. This amount corresponds to 2.3 % of the entire RRF, and to 7.8 % of Portugal's 2019 gross domestic product (GDP). 2 There is a strong focus on the country's social, economic and environmental resilience, with measures targeting culture, housing, health, broad social responses, and forest and water management. Measures relating to climate transition-including key actions on industry decarbonisation and energy efficiency of buildings-reach just over 38 % of the allocation. The digital transition focus area of the Portuguese National Recovery and Resilience Plan (NRRP) amounts to just over 22 % of the allocation, with measures and reforms aimed at public administration and finances, education, and businesses. Following the Council's approval of the Commission's positive assessment of the plan, Portugal received €2.2 billion pre-financing in August 2021. Further payments, in 10 instalments for grants and seven for loans, will depend on progress in implementing the plan. In January 2022, Portugal submitted a first payment request worth €1.16 billion in grant and loan instalments (€0.55 billion in grants and €0.61 billion in loans). The Commission made a positive preliminary assessment of Portugal's payment request. The European Parliament is a major supporter of the creation of a common EU recovery instrument, and takes part in interinstitutional settings to cooperate, discuss and scrutinise implementation of the European Commission's work. This briefing is one in a series covering all EU Member States.","author":[{"dropping-particle":"","family":"European Parliament","given":"","non-dropping-particle":"","parse-names":false,"suffix":""}],"id":"ITEM-1","issue":"May","issued":{"date-parts":[["2022"]]},"note":"First edition. The 'NGEU delivery' briefings are updated at key stages throughout the lifecycle of the plans.","title":"Portugal's National Recovery and Resilience Plan","type":"report"},"uris":["http://www.mendeley.com/documents/?uuid=ef04e2c5-e9bc-4c47-a6e5-894d4bdff68c"]}],"mendeley":{"formattedCitation":"(8)","plainTextFormattedCitation":"(8)","previouslyFormattedCitation":"(8)"},"properties":{"noteIndex":0},"schema":"https://github.com/citation-style-language/schema/raw/master/csl-citation.json"}</w:instrText>
      </w:r>
      <w:r w:rsidR="0072226E">
        <w:rPr>
          <w:rFonts w:ascii="Times New Roman" w:hAnsi="Times New Roman"/>
          <w:sz w:val="24"/>
          <w:szCs w:val="24"/>
          <w:lang w:val="pt-PT"/>
        </w:rPr>
        <w:fldChar w:fldCharType="separate"/>
      </w:r>
      <w:r w:rsidR="009E44D6" w:rsidRPr="009E44D6">
        <w:rPr>
          <w:rFonts w:ascii="Times New Roman" w:hAnsi="Times New Roman"/>
          <w:noProof/>
          <w:sz w:val="24"/>
          <w:szCs w:val="24"/>
          <w:lang w:val="pt-PT"/>
        </w:rPr>
        <w:t>(8)</w:t>
      </w:r>
      <w:r w:rsidR="0072226E">
        <w:rPr>
          <w:rFonts w:ascii="Times New Roman" w:hAnsi="Times New Roman"/>
          <w:sz w:val="24"/>
          <w:szCs w:val="24"/>
          <w:lang w:val="pt-PT"/>
        </w:rPr>
        <w:fldChar w:fldCharType="end"/>
      </w:r>
      <w:r w:rsidRPr="00DA08E4">
        <w:rPr>
          <w:rFonts w:ascii="Times New Roman" w:hAnsi="Times New Roman"/>
          <w:sz w:val="24"/>
          <w:szCs w:val="24"/>
          <w:lang w:val="pt-PT"/>
        </w:rPr>
        <w:t xml:space="preserve"> </w:t>
      </w:r>
      <w:r w:rsidR="0072226E">
        <w:rPr>
          <w:rFonts w:ascii="Times New Roman" w:hAnsi="Times New Roman"/>
          <w:sz w:val="24"/>
          <w:szCs w:val="24"/>
          <w:lang w:val="pt-PT"/>
        </w:rPr>
        <w:t>a</w:t>
      </w:r>
      <w:r w:rsidRPr="00DA08E4">
        <w:rPr>
          <w:rFonts w:ascii="Times New Roman" w:hAnsi="Times New Roman"/>
          <w:sz w:val="24"/>
          <w:szCs w:val="24"/>
          <w:lang w:val="pt-PT"/>
        </w:rPr>
        <w:t xml:space="preserve"> </w:t>
      </w:r>
      <w:r w:rsidR="0072226E">
        <w:rPr>
          <w:rFonts w:ascii="Times New Roman" w:hAnsi="Times New Roman"/>
          <w:sz w:val="24"/>
          <w:szCs w:val="24"/>
          <w:lang w:val="pt-PT"/>
        </w:rPr>
        <w:t xml:space="preserve">União Europeia (EU) através do plano </w:t>
      </w:r>
      <w:r w:rsidR="0072226E" w:rsidRPr="00DA08E4">
        <w:rPr>
          <w:rFonts w:ascii="Times New Roman" w:hAnsi="Times New Roman"/>
          <w:sz w:val="24"/>
          <w:szCs w:val="24"/>
          <w:lang w:val="pt-PT"/>
        </w:rPr>
        <w:t>REPoweEU 2030</w:t>
      </w:r>
      <w:r w:rsidRPr="00DA08E4">
        <w:rPr>
          <w:rFonts w:ascii="Times New Roman" w:hAnsi="Times New Roman"/>
          <w:sz w:val="24"/>
          <w:szCs w:val="24"/>
          <w:lang w:val="pt-PT"/>
        </w:rPr>
        <w:t xml:space="preserve">, </w:t>
      </w:r>
      <w:r w:rsidR="0072226E" w:rsidRPr="00DA08E4">
        <w:rPr>
          <w:rFonts w:ascii="Times New Roman" w:hAnsi="Times New Roman"/>
          <w:sz w:val="24"/>
          <w:szCs w:val="24"/>
          <w:lang w:val="pt-PT"/>
        </w:rPr>
        <w:t xml:space="preserve">que é uma proposta da Comissão Europeia </w:t>
      </w:r>
      <w:r w:rsidR="0072226E">
        <w:rPr>
          <w:rFonts w:ascii="Times New Roman" w:hAnsi="Times New Roman"/>
          <w:sz w:val="24"/>
          <w:szCs w:val="24"/>
          <w:lang w:val="pt-PT"/>
        </w:rPr>
        <w:t xml:space="preserve">de </w:t>
      </w:r>
      <w:r w:rsidR="0072226E" w:rsidRPr="00DA08E4">
        <w:rPr>
          <w:rFonts w:ascii="Times New Roman" w:hAnsi="Times New Roman"/>
          <w:sz w:val="24"/>
          <w:szCs w:val="24"/>
          <w:lang w:val="pt-PT"/>
        </w:rPr>
        <w:t>reduzir a dependência de combustíveis fósseis da Rússia antes de 2030 e acelerar o processo de transição para a energia verde</w:t>
      </w:r>
      <w:r w:rsidR="0072226E">
        <w:rPr>
          <w:rFonts w:ascii="Times New Roman" w:hAnsi="Times New Roman"/>
          <w:sz w:val="24"/>
          <w:szCs w:val="24"/>
          <w:lang w:val="pt-PT"/>
        </w:rPr>
        <w:t>, tem</w:t>
      </w:r>
      <w:r w:rsidR="0072226E" w:rsidRPr="00DA08E4">
        <w:rPr>
          <w:rFonts w:ascii="Times New Roman" w:hAnsi="Times New Roman"/>
          <w:sz w:val="24"/>
          <w:szCs w:val="24"/>
          <w:lang w:val="pt-PT"/>
        </w:rPr>
        <w:t xml:space="preserve"> </w:t>
      </w:r>
      <w:r w:rsidRPr="00DA08E4">
        <w:rPr>
          <w:rFonts w:ascii="Times New Roman" w:hAnsi="Times New Roman"/>
          <w:sz w:val="24"/>
          <w:szCs w:val="24"/>
          <w:lang w:val="pt-PT"/>
        </w:rPr>
        <w:t>os investimentos destinados a promover as energias renováveis</w:t>
      </w:r>
      <w:r w:rsidR="0072226E">
        <w:rPr>
          <w:rFonts w:ascii="Times New Roman" w:hAnsi="Times New Roman"/>
          <w:sz w:val="24"/>
          <w:szCs w:val="24"/>
          <w:lang w:val="pt-PT"/>
        </w:rPr>
        <w:t xml:space="preserve"> e c</w:t>
      </w:r>
      <w:r w:rsidRPr="00DA08E4">
        <w:rPr>
          <w:rFonts w:ascii="Times New Roman" w:hAnsi="Times New Roman"/>
          <w:sz w:val="24"/>
          <w:szCs w:val="24"/>
          <w:lang w:val="pt-PT"/>
        </w:rPr>
        <w:t xml:space="preserve">om isso, aumentará a necessidade de investimento </w:t>
      </w:r>
      <w:r w:rsidR="0072226E">
        <w:rPr>
          <w:rFonts w:ascii="Times New Roman" w:hAnsi="Times New Roman"/>
          <w:sz w:val="24"/>
          <w:szCs w:val="24"/>
          <w:lang w:val="pt-PT"/>
        </w:rPr>
        <w:t xml:space="preserve">em </w:t>
      </w:r>
      <w:r w:rsidR="0072226E" w:rsidRPr="00DA08E4">
        <w:rPr>
          <w:rFonts w:ascii="Times New Roman" w:hAnsi="Times New Roman"/>
          <w:sz w:val="24"/>
          <w:szCs w:val="24"/>
          <w:lang w:val="pt-PT"/>
        </w:rPr>
        <w:t xml:space="preserve">energias renováveis </w:t>
      </w:r>
      <w:r w:rsidRPr="00DA08E4">
        <w:rPr>
          <w:rFonts w:ascii="Times New Roman" w:hAnsi="Times New Roman"/>
          <w:sz w:val="24"/>
          <w:szCs w:val="24"/>
          <w:lang w:val="pt-PT"/>
        </w:rPr>
        <w:t>de 40% para 45%, devido à invasão russa da Ucrânia com o objetivo de reduzir a dependência energética da Rússia.</w:t>
      </w:r>
      <w:r w:rsidR="0072226E">
        <w:rPr>
          <w:rFonts w:ascii="Times New Roman" w:hAnsi="Times New Roman"/>
          <w:sz w:val="24"/>
          <w:szCs w:val="24"/>
          <w:lang w:val="pt-PT"/>
        </w:rPr>
        <w:t xml:space="preserve"> </w:t>
      </w:r>
      <w:r w:rsidRPr="00DA08E4">
        <w:rPr>
          <w:rFonts w:ascii="Times New Roman" w:hAnsi="Times New Roman"/>
          <w:sz w:val="24"/>
          <w:szCs w:val="24"/>
          <w:lang w:val="pt-PT"/>
        </w:rPr>
        <w:t>Assim, a questão central é como garantir uma transição ótima para um sistema de energia renovável capaz de promover o desenvolvimento econômico sustentável e maximizar o bem-estar</w:t>
      </w:r>
      <w:r w:rsidR="009E44D6">
        <w:rPr>
          <w:rFonts w:ascii="Times New Roman" w:hAnsi="Times New Roman"/>
          <w:sz w:val="24"/>
          <w:szCs w:val="24"/>
          <w:lang w:val="pt-PT"/>
        </w:rPr>
        <w:t xml:space="preserve">, sendo </w:t>
      </w:r>
      <w:r w:rsidRPr="00DA08E4">
        <w:rPr>
          <w:rFonts w:ascii="Times New Roman" w:hAnsi="Times New Roman"/>
          <w:sz w:val="24"/>
          <w:szCs w:val="24"/>
          <w:lang w:val="pt-PT"/>
        </w:rPr>
        <w:t>primordial para o alcance da sustentabilidade e</w:t>
      </w:r>
      <w:r w:rsidR="009E44D6">
        <w:rPr>
          <w:rFonts w:ascii="Times New Roman" w:hAnsi="Times New Roman"/>
          <w:sz w:val="24"/>
          <w:szCs w:val="24"/>
          <w:lang w:val="pt-PT"/>
        </w:rPr>
        <w:t xml:space="preserve"> uma sociedade mais justa que o</w:t>
      </w:r>
      <w:r w:rsidRPr="00DA08E4">
        <w:rPr>
          <w:rFonts w:ascii="Times New Roman" w:hAnsi="Times New Roman"/>
          <w:sz w:val="24"/>
          <w:szCs w:val="24"/>
          <w:lang w:val="pt-PT"/>
        </w:rPr>
        <w:t xml:space="preserve">s investimentos </w:t>
      </w:r>
      <w:r w:rsidR="009E44D6">
        <w:rPr>
          <w:rFonts w:ascii="Times New Roman" w:hAnsi="Times New Roman"/>
          <w:sz w:val="24"/>
          <w:szCs w:val="24"/>
          <w:lang w:val="pt-PT"/>
        </w:rPr>
        <w:t>tenham</w:t>
      </w:r>
      <w:r w:rsidRPr="00DA08E4">
        <w:rPr>
          <w:rFonts w:ascii="Times New Roman" w:hAnsi="Times New Roman"/>
          <w:sz w:val="24"/>
          <w:szCs w:val="24"/>
          <w:lang w:val="pt-PT"/>
        </w:rPr>
        <w:t xml:space="preserve"> uma abordagem mais abrangente, que integre </w:t>
      </w:r>
      <w:r w:rsidR="009E44D6">
        <w:rPr>
          <w:rFonts w:ascii="Times New Roman" w:hAnsi="Times New Roman"/>
          <w:sz w:val="24"/>
          <w:szCs w:val="24"/>
          <w:lang w:val="pt-PT"/>
        </w:rPr>
        <w:t xml:space="preserve">a parte econõmica aos </w:t>
      </w:r>
      <w:r w:rsidRPr="00DA08E4">
        <w:rPr>
          <w:rFonts w:ascii="Times New Roman" w:hAnsi="Times New Roman"/>
          <w:sz w:val="24"/>
          <w:szCs w:val="24"/>
          <w:lang w:val="pt-PT"/>
        </w:rPr>
        <w:t>aspectos ambientais e sociais.</w:t>
      </w:r>
    </w:p>
    <w:p w14:paraId="311FE7E5" w14:textId="58AFCA46" w:rsidR="00DA08E4" w:rsidRPr="000C02F5" w:rsidRDefault="00DA08E4" w:rsidP="00691500">
      <w:pPr>
        <w:autoSpaceDE w:val="0"/>
        <w:autoSpaceDN w:val="0"/>
        <w:adjustRightInd w:val="0"/>
        <w:spacing w:after="0" w:line="360" w:lineRule="auto"/>
        <w:ind w:left="1134" w:firstLine="709"/>
        <w:jc w:val="both"/>
        <w:rPr>
          <w:rFonts w:ascii="Times New Roman" w:hAnsi="Times New Roman"/>
          <w:sz w:val="24"/>
          <w:szCs w:val="24"/>
          <w:lang w:val="pt-PT"/>
        </w:rPr>
      </w:pPr>
      <w:r w:rsidRPr="00DA08E4">
        <w:rPr>
          <w:rFonts w:ascii="Times New Roman" w:hAnsi="Times New Roman"/>
          <w:sz w:val="24"/>
          <w:szCs w:val="24"/>
          <w:lang w:val="pt-PT"/>
        </w:rPr>
        <w:lastRenderedPageBreak/>
        <w:t xml:space="preserve">A maioria dos métodos utilizados são baseados em abordagens tradicionais. Este trabalho tem como objetivo revisar as metodologias </w:t>
      </w:r>
      <w:r w:rsidR="000C02F5">
        <w:rPr>
          <w:rFonts w:ascii="Times New Roman" w:hAnsi="Times New Roman"/>
          <w:sz w:val="24"/>
          <w:szCs w:val="24"/>
          <w:lang w:val="pt-PT"/>
        </w:rPr>
        <w:t>em</w:t>
      </w:r>
      <w:r w:rsidRPr="00DA08E4">
        <w:rPr>
          <w:rFonts w:ascii="Times New Roman" w:hAnsi="Times New Roman"/>
          <w:sz w:val="24"/>
          <w:szCs w:val="24"/>
          <w:lang w:val="pt-PT"/>
        </w:rPr>
        <w:t xml:space="preserve"> análise de investimentos, não pretendendo enumerar exaustivamente todos os métodos disponíveis, mas trazer os métodos amplamente utilizados, as perspectivas mais interessantes e úteis para os pesquisadores em finanças e tecnologias renováveis. A revisão abordada nesta pesquisa avaliará as vantagens e desvantagens dos diversos métodos de análise de investimentos encontrados em artigos acadêmicos e documentos de instituições oficiais. Esta revisão pretende trazer uma importante contribuição e melhoria para a literatura atual</w:t>
      </w:r>
      <w:r w:rsidR="000C02F5">
        <w:rPr>
          <w:rFonts w:ascii="Times New Roman" w:hAnsi="Times New Roman"/>
          <w:sz w:val="24"/>
          <w:szCs w:val="24"/>
          <w:lang w:val="pt-PT"/>
        </w:rPr>
        <w:t>,</w:t>
      </w:r>
      <w:r w:rsidRPr="00DA08E4">
        <w:rPr>
          <w:rFonts w:ascii="Times New Roman" w:hAnsi="Times New Roman"/>
          <w:sz w:val="24"/>
          <w:szCs w:val="24"/>
          <w:lang w:val="pt-PT"/>
        </w:rPr>
        <w:t xml:space="preserve"> </w:t>
      </w:r>
      <w:r w:rsidR="000C02F5" w:rsidRPr="000C02F5">
        <w:rPr>
          <w:rFonts w:ascii="Times New Roman" w:hAnsi="Times New Roman"/>
          <w:sz w:val="24"/>
          <w:szCs w:val="24"/>
          <w:lang w:val="pt-PT"/>
        </w:rPr>
        <w:t>pois mostra que ferramentas diferentes cobrem efeitos diferentes, isso pode ser um ponto de decisão importante na escolha da ferramenta.</w:t>
      </w:r>
    </w:p>
    <w:p w14:paraId="60448131" w14:textId="1B47F68C" w:rsidR="009E3063" w:rsidRDefault="00DA08E4" w:rsidP="00691500">
      <w:pPr>
        <w:autoSpaceDE w:val="0"/>
        <w:autoSpaceDN w:val="0"/>
        <w:adjustRightInd w:val="0"/>
        <w:spacing w:after="0" w:line="360" w:lineRule="auto"/>
        <w:ind w:left="1134" w:firstLine="709"/>
        <w:jc w:val="both"/>
        <w:rPr>
          <w:rFonts w:ascii="Times New Roman" w:hAnsi="Times New Roman"/>
          <w:sz w:val="24"/>
          <w:szCs w:val="24"/>
          <w:lang w:val="pt-PT"/>
        </w:rPr>
      </w:pPr>
      <w:r w:rsidRPr="00DA08E4">
        <w:rPr>
          <w:rFonts w:ascii="Times New Roman" w:hAnsi="Times New Roman"/>
          <w:sz w:val="24"/>
          <w:szCs w:val="24"/>
          <w:lang w:val="pt-PT"/>
        </w:rPr>
        <w:t xml:space="preserve">O restante do artigo está estruturado da seguinte forma. </w:t>
      </w:r>
      <w:r w:rsidR="001A598A">
        <w:rPr>
          <w:rFonts w:ascii="Times New Roman" w:hAnsi="Times New Roman"/>
          <w:sz w:val="24"/>
          <w:szCs w:val="24"/>
          <w:lang w:val="pt-PT"/>
        </w:rPr>
        <w:t xml:space="preserve"> No capítulo segundo, serão apresentadas identificadas as metodologias </w:t>
      </w:r>
      <w:r w:rsidRPr="00DA08E4">
        <w:rPr>
          <w:rFonts w:ascii="Times New Roman" w:hAnsi="Times New Roman"/>
          <w:sz w:val="24"/>
          <w:szCs w:val="24"/>
          <w:lang w:val="pt-PT"/>
        </w:rPr>
        <w:t xml:space="preserve">mais utilizadas pela literatura na análise de investimentos. </w:t>
      </w:r>
      <w:r w:rsidR="001A598A">
        <w:rPr>
          <w:rFonts w:ascii="Times New Roman" w:hAnsi="Times New Roman"/>
          <w:sz w:val="24"/>
          <w:szCs w:val="24"/>
          <w:lang w:val="pt-PT"/>
        </w:rPr>
        <w:t>Ainda este capítulo apresenta as vantagens e desvantagens de cada método descrito e discussões com base na literatura, Em seguida, serão apresentadas as</w:t>
      </w:r>
      <w:r w:rsidRPr="00DA08E4">
        <w:rPr>
          <w:rFonts w:ascii="Times New Roman" w:hAnsi="Times New Roman"/>
          <w:sz w:val="24"/>
          <w:szCs w:val="24"/>
          <w:lang w:val="pt-PT"/>
        </w:rPr>
        <w:t xml:space="preserve"> considerações finais e algumas direções para pesquisas futuras.</w:t>
      </w:r>
    </w:p>
    <w:bookmarkEnd w:id="0"/>
    <w:p w14:paraId="025FE5B7" w14:textId="2977E315" w:rsidR="00A12D60" w:rsidRDefault="000C02F5" w:rsidP="00691500">
      <w:pPr>
        <w:pStyle w:val="Ttulo1"/>
        <w:numPr>
          <w:ilvl w:val="0"/>
          <w:numId w:val="1"/>
        </w:numPr>
        <w:spacing w:before="0" w:line="360" w:lineRule="auto"/>
        <w:ind w:left="1134" w:firstLine="709"/>
        <w:jc w:val="both"/>
        <w:rPr>
          <w:rFonts w:ascii="Times New Roman" w:hAnsi="Times New Roman"/>
          <w:color w:val="000000" w:themeColor="text1"/>
          <w:lang w:val="pt-PT"/>
        </w:rPr>
      </w:pPr>
      <w:r w:rsidRPr="000C02F5">
        <w:rPr>
          <w:rFonts w:ascii="Times New Roman" w:hAnsi="Times New Roman"/>
          <w:color w:val="000000" w:themeColor="text1"/>
          <w:lang w:val="pt-PT"/>
        </w:rPr>
        <w:t xml:space="preserve">Revisão das abordagens de apoio às decisões em </w:t>
      </w:r>
      <w:r w:rsidR="00D25093">
        <w:rPr>
          <w:rFonts w:ascii="Times New Roman" w:hAnsi="Times New Roman"/>
          <w:color w:val="000000" w:themeColor="text1"/>
          <w:lang w:val="pt-PT"/>
        </w:rPr>
        <w:t>energia renovável</w:t>
      </w:r>
    </w:p>
    <w:p w14:paraId="36AFE3A1" w14:textId="77777777" w:rsidR="000C02F5" w:rsidRPr="000C02F5" w:rsidRDefault="000C02F5" w:rsidP="00691500">
      <w:pPr>
        <w:spacing w:after="0" w:line="360" w:lineRule="auto"/>
        <w:ind w:left="1134" w:firstLine="709"/>
        <w:jc w:val="both"/>
        <w:rPr>
          <w:lang w:val="pt-PT"/>
        </w:rPr>
      </w:pPr>
    </w:p>
    <w:p w14:paraId="583C890E" w14:textId="369A58B9" w:rsidR="000C02F5" w:rsidRPr="000C02F5" w:rsidRDefault="000C02F5" w:rsidP="00691500">
      <w:pPr>
        <w:spacing w:after="0" w:line="360" w:lineRule="auto"/>
        <w:ind w:left="1134" w:firstLine="709"/>
        <w:jc w:val="both"/>
        <w:rPr>
          <w:rFonts w:ascii="Times New Roman" w:hAnsi="Times New Roman" w:cs="Times New Roman"/>
          <w:sz w:val="24"/>
          <w:szCs w:val="24"/>
          <w:lang w:val="pt-PT"/>
        </w:rPr>
      </w:pPr>
      <w:r w:rsidRPr="000C02F5">
        <w:rPr>
          <w:rFonts w:ascii="Times New Roman" w:hAnsi="Times New Roman" w:cs="Times New Roman"/>
          <w:sz w:val="24"/>
          <w:szCs w:val="24"/>
          <w:lang w:val="pt-PT"/>
        </w:rPr>
        <w:t xml:space="preserve">Para atingir os objetivos deste estudo, adotou-se a pesquisa exploratória, que segundo Gil </w:t>
      </w:r>
      <w:r w:rsidR="000E6908">
        <w:rPr>
          <w:rFonts w:ascii="Times New Roman" w:hAnsi="Times New Roman" w:cs="Times New Roman"/>
          <w:sz w:val="24"/>
          <w:szCs w:val="24"/>
          <w:lang w:val="pt-PT"/>
        </w:rPr>
        <w:fldChar w:fldCharType="begin" w:fldLock="1"/>
      </w:r>
      <w:r w:rsidR="000E6908">
        <w:rPr>
          <w:rFonts w:ascii="Times New Roman" w:hAnsi="Times New Roman" w:cs="Times New Roman"/>
          <w:sz w:val="24"/>
          <w:szCs w:val="24"/>
          <w:lang w:val="pt-PT"/>
        </w:rPr>
        <w:instrText>ADDIN CSL_CITATION {"citationItems":[{"id":"ITEM-1","itemData":{"ISBN":"8522431698","ISSN":"85-224-3169-8","abstract":"Como encaminhar uma pesquisa; Como formular um problema de pesquisa; Como construir hipóteses; Como classificar as pesquisas; Como delinear uma pesquisa bibliográfica; Como delinear uma pesquisa documental; Como delinear uma pesquisa experimental; Como delinear um ensaio clínico; Como delinear um estudo de coorte; Como delinear um estudo caso-controle; Como delinear um levantamento; Como delinear um estudo de caso; Como delinear uma pesquisa etnográfica; Como delinear uma pesquisa fenomenológica; Como delinear uma pesquisa para desenvolver teoria fundamentada (grounded theory); Como delinear uma pesquisa-ação;Como delinear uma pesquisa participante; Como calcular o tempo e o custo do projeto; Como redigir o projeto de pesquisa.","author":[{"dropping-particle":"","family":"Gil","given":"Antonio Carlos","non-dropping-particle":"","parse-names":false,"suffix":""}],"container-title":"Como Elaborar Projetos de Pesquisa","id":"ITEM-1","issued":{"date-parts":[["2002"]]},"number-of-pages":"137-142","title":"Como Elaborar Projetos de Pesquisa","type":"book"},"uris":["http://www.mendeley.com/documents/?uuid=8647fe10-1177-4474-84d5-f9debd4a3a41"]}],"mendeley":{"formattedCitation":"(9)","plainTextFormattedCitation":"(9)","previouslyFormattedCitation":"(9)"},"properties":{"noteIndex":0},"schema":"https://github.com/citation-style-language/schema/raw/master/csl-citation.json"}</w:instrText>
      </w:r>
      <w:r w:rsidR="000E6908">
        <w:rPr>
          <w:rFonts w:ascii="Times New Roman" w:hAnsi="Times New Roman" w:cs="Times New Roman"/>
          <w:sz w:val="24"/>
          <w:szCs w:val="24"/>
          <w:lang w:val="pt-PT"/>
        </w:rPr>
        <w:fldChar w:fldCharType="separate"/>
      </w:r>
      <w:r w:rsidR="000E6908" w:rsidRPr="000E6908">
        <w:rPr>
          <w:rFonts w:ascii="Times New Roman" w:hAnsi="Times New Roman" w:cs="Times New Roman"/>
          <w:noProof/>
          <w:sz w:val="24"/>
          <w:szCs w:val="24"/>
          <w:lang w:val="pt-PT"/>
        </w:rPr>
        <w:t>(9)</w:t>
      </w:r>
      <w:r w:rsidR="000E6908">
        <w:rPr>
          <w:rFonts w:ascii="Times New Roman" w:hAnsi="Times New Roman" w:cs="Times New Roman"/>
          <w:sz w:val="24"/>
          <w:szCs w:val="24"/>
          <w:lang w:val="pt-PT"/>
        </w:rPr>
        <w:fldChar w:fldCharType="end"/>
      </w:r>
      <w:r w:rsidRPr="000C02F5">
        <w:rPr>
          <w:rFonts w:ascii="Times New Roman" w:hAnsi="Times New Roman" w:cs="Times New Roman"/>
          <w:sz w:val="24"/>
          <w:szCs w:val="24"/>
          <w:lang w:val="pt-PT"/>
        </w:rPr>
        <w:t xml:space="preserve"> visa aprimorar ideias e identificar algumas perspectivas para pesquisas futuras. Para apurar os fatos e investigar as informações encontradas, foram realizadas pesquisas bibliográficas </w:t>
      </w:r>
      <w:r w:rsidR="000E6908">
        <w:rPr>
          <w:rFonts w:ascii="Times New Roman" w:hAnsi="Times New Roman" w:cs="Times New Roman"/>
          <w:sz w:val="24"/>
          <w:szCs w:val="24"/>
          <w:lang w:val="pt-PT"/>
        </w:rPr>
        <w:fldChar w:fldCharType="begin" w:fldLock="1"/>
      </w:r>
      <w:r w:rsidR="000E6908">
        <w:rPr>
          <w:rFonts w:ascii="Times New Roman" w:hAnsi="Times New Roman" w:cs="Times New Roman"/>
          <w:sz w:val="24"/>
          <w:szCs w:val="24"/>
          <w:lang w:val="pt-PT"/>
        </w:rPr>
        <w:instrText>ADDIN CSL_CITATION {"citationItems":[{"id":"ITEM-1","itemData":{"ISBN":"8570412096","abstract":".","author":[{"dropping-particle":"","family":"Santos, Campello Bernardes, Cendon Beatriz Valadares","given":"and Kremer Jeannette Marguerite","non-dropping-particle":"","parse-names":false,"suffix":""}],"container-title":"Fontes de informação para …","id":"ITEM-1","issued":{"date-parts":[["2000"]]},"number-of-pages":"128","title":"Fontes de informação para pesquisadores e profissionais.\"","type":"book"},"uris":["http://www.mendeley.com/documents/?uuid=4ec2d330-763a-4e4a-8e93-fdd2fde7da0e"]}],"mendeley":{"formattedCitation":"(10)","plainTextFormattedCitation":"(10)","previouslyFormattedCitation":"(10)"},"properties":{"noteIndex":0},"schema":"https://github.com/citation-style-language/schema/raw/master/csl-citation.json"}</w:instrText>
      </w:r>
      <w:r w:rsidR="000E6908">
        <w:rPr>
          <w:rFonts w:ascii="Times New Roman" w:hAnsi="Times New Roman" w:cs="Times New Roman"/>
          <w:sz w:val="24"/>
          <w:szCs w:val="24"/>
          <w:lang w:val="pt-PT"/>
        </w:rPr>
        <w:fldChar w:fldCharType="separate"/>
      </w:r>
      <w:r w:rsidR="000E6908" w:rsidRPr="000E6908">
        <w:rPr>
          <w:rFonts w:ascii="Times New Roman" w:hAnsi="Times New Roman" w:cs="Times New Roman"/>
          <w:noProof/>
          <w:sz w:val="24"/>
          <w:szCs w:val="24"/>
          <w:lang w:val="pt-PT"/>
        </w:rPr>
        <w:t>(10)</w:t>
      </w:r>
      <w:r w:rsidR="000E6908">
        <w:rPr>
          <w:rFonts w:ascii="Times New Roman" w:hAnsi="Times New Roman" w:cs="Times New Roman"/>
          <w:sz w:val="24"/>
          <w:szCs w:val="24"/>
          <w:lang w:val="pt-PT"/>
        </w:rPr>
        <w:fldChar w:fldCharType="end"/>
      </w:r>
      <w:r w:rsidRPr="000C02F5">
        <w:rPr>
          <w:rFonts w:ascii="Times New Roman" w:hAnsi="Times New Roman" w:cs="Times New Roman"/>
          <w:sz w:val="24"/>
          <w:szCs w:val="24"/>
          <w:lang w:val="pt-PT"/>
        </w:rPr>
        <w:t xml:space="preserve"> e documentais qualitativ</w:t>
      </w:r>
      <w:r w:rsidR="000E6908">
        <w:rPr>
          <w:rFonts w:ascii="Times New Roman" w:hAnsi="Times New Roman" w:cs="Times New Roman"/>
          <w:sz w:val="24"/>
          <w:szCs w:val="24"/>
          <w:lang w:val="pt-PT"/>
        </w:rPr>
        <w:t xml:space="preserve">as </w:t>
      </w:r>
      <w:r w:rsidR="000E6908">
        <w:rPr>
          <w:rFonts w:ascii="Times New Roman" w:hAnsi="Times New Roman" w:cs="Times New Roman"/>
          <w:sz w:val="24"/>
          <w:szCs w:val="24"/>
          <w:lang w:val="pt-PT"/>
        </w:rPr>
        <w:fldChar w:fldCharType="begin" w:fldLock="1"/>
      </w:r>
      <w:r w:rsidR="000E6908">
        <w:rPr>
          <w:rFonts w:ascii="Times New Roman" w:hAnsi="Times New Roman" w:cs="Times New Roman"/>
          <w:sz w:val="24"/>
          <w:szCs w:val="24"/>
          <w:lang w:val="pt-PT"/>
        </w:rPr>
        <w:instrText>ADDIN CSL_CITATION {"citationItems":[{"id":"ITEM-1","itemData":{"ISBN":"85224211110","abstract":"RICHARDSON, Roberto Jarry. Pesquisa social: métodos e técnicas. Colaboradores José Augusto de Souza Peres (et AL.). 3. Ed. – reimpr. – São Paulo: Atlas, 1999.","author":[{"dropping-particle":"","family":"Richardson","given":"Roberto Jarry","non-dropping-particle":"","parse-names":false,"suffix":""}],"id":"ITEM-1","issued":{"date-parts":[["1999"]]},"page":"329","title":"Pesquisa social, métodos e técnicas","type":"article"},"uris":["http://www.mendeley.com/documents/?uuid=6309ec46-78db-4b64-a1b8-eb1061b9bf83"]}],"mendeley":{"formattedCitation":"(11)","plainTextFormattedCitation":"(11)"},"properties":{"noteIndex":0},"schema":"https://github.com/citation-style-language/schema/raw/master/csl-citation.json"}</w:instrText>
      </w:r>
      <w:r w:rsidR="000E6908">
        <w:rPr>
          <w:rFonts w:ascii="Times New Roman" w:hAnsi="Times New Roman" w:cs="Times New Roman"/>
          <w:sz w:val="24"/>
          <w:szCs w:val="24"/>
          <w:lang w:val="pt-PT"/>
        </w:rPr>
        <w:fldChar w:fldCharType="separate"/>
      </w:r>
      <w:r w:rsidR="000E6908" w:rsidRPr="000E6908">
        <w:rPr>
          <w:rFonts w:ascii="Times New Roman" w:hAnsi="Times New Roman" w:cs="Times New Roman"/>
          <w:noProof/>
          <w:sz w:val="24"/>
          <w:szCs w:val="24"/>
          <w:lang w:val="pt-PT"/>
        </w:rPr>
        <w:t>(11)</w:t>
      </w:r>
      <w:r w:rsidR="000E6908">
        <w:rPr>
          <w:rFonts w:ascii="Times New Roman" w:hAnsi="Times New Roman" w:cs="Times New Roman"/>
          <w:sz w:val="24"/>
          <w:szCs w:val="24"/>
          <w:lang w:val="pt-PT"/>
        </w:rPr>
        <w:fldChar w:fldCharType="end"/>
      </w:r>
      <w:r w:rsidRPr="000C02F5">
        <w:rPr>
          <w:rFonts w:ascii="Times New Roman" w:hAnsi="Times New Roman" w:cs="Times New Roman"/>
          <w:sz w:val="24"/>
          <w:szCs w:val="24"/>
          <w:lang w:val="pt-PT"/>
        </w:rPr>
        <w:t>. Eles foram avaliados com base em artigos publicados no Scopus, Google Scholar, Web of Science e documentos oficiais de instituições ligadas ao setor de energia, resultando em um total de 21</w:t>
      </w:r>
      <w:r w:rsidR="000E6908">
        <w:rPr>
          <w:rFonts w:ascii="Times New Roman" w:hAnsi="Times New Roman" w:cs="Times New Roman"/>
          <w:sz w:val="24"/>
          <w:szCs w:val="24"/>
          <w:lang w:val="pt-PT"/>
        </w:rPr>
        <w:t>3</w:t>
      </w:r>
      <w:r w:rsidRPr="000C02F5">
        <w:rPr>
          <w:rFonts w:ascii="Times New Roman" w:hAnsi="Times New Roman" w:cs="Times New Roman"/>
          <w:sz w:val="24"/>
          <w:szCs w:val="24"/>
          <w:lang w:val="pt-PT"/>
        </w:rPr>
        <w:t xml:space="preserve"> artigos acadêmicos e 6</w:t>
      </w:r>
      <w:r w:rsidR="009E44D6">
        <w:rPr>
          <w:rFonts w:ascii="Times New Roman" w:hAnsi="Times New Roman" w:cs="Times New Roman"/>
          <w:sz w:val="24"/>
          <w:szCs w:val="24"/>
          <w:lang w:val="pt-PT"/>
        </w:rPr>
        <w:t>8</w:t>
      </w:r>
      <w:r w:rsidRPr="000C02F5">
        <w:rPr>
          <w:rFonts w:ascii="Times New Roman" w:hAnsi="Times New Roman" w:cs="Times New Roman"/>
          <w:sz w:val="24"/>
          <w:szCs w:val="24"/>
          <w:lang w:val="pt-PT"/>
        </w:rPr>
        <w:t xml:space="preserve"> documentos governamentais e de instituições privadas oficiais publicados entre 1979 e 202</w:t>
      </w:r>
      <w:r w:rsidR="009E44D6">
        <w:rPr>
          <w:rFonts w:ascii="Times New Roman" w:hAnsi="Times New Roman" w:cs="Times New Roman"/>
          <w:sz w:val="24"/>
          <w:szCs w:val="24"/>
          <w:lang w:val="pt-PT"/>
        </w:rPr>
        <w:t>3</w:t>
      </w:r>
      <w:r w:rsidRPr="000C02F5">
        <w:rPr>
          <w:rFonts w:ascii="Times New Roman" w:hAnsi="Times New Roman" w:cs="Times New Roman"/>
          <w:sz w:val="24"/>
          <w:szCs w:val="24"/>
          <w:lang w:val="pt-PT"/>
        </w:rPr>
        <w:t>.</w:t>
      </w:r>
    </w:p>
    <w:p w14:paraId="2562B95A" w14:textId="185715F4" w:rsidR="000C02F5" w:rsidRPr="000C02F5" w:rsidRDefault="009E44D6" w:rsidP="00691500">
      <w:pPr>
        <w:spacing w:after="0" w:line="360" w:lineRule="auto"/>
        <w:ind w:left="1134" w:firstLine="709"/>
        <w:jc w:val="both"/>
        <w:rPr>
          <w:rFonts w:ascii="Times New Roman" w:hAnsi="Times New Roman" w:cs="Times New Roman"/>
          <w:sz w:val="24"/>
          <w:szCs w:val="24"/>
          <w:lang w:val="pt-PT"/>
        </w:rPr>
      </w:pPr>
      <w:r>
        <w:rPr>
          <w:rFonts w:ascii="Times New Roman" w:hAnsi="Times New Roman" w:cs="Times New Roman"/>
          <w:sz w:val="24"/>
          <w:szCs w:val="24"/>
          <w:lang w:val="pt-PT"/>
        </w:rPr>
        <w:t>A</w:t>
      </w:r>
      <w:r w:rsidR="000C02F5" w:rsidRPr="000C02F5">
        <w:rPr>
          <w:rFonts w:ascii="Times New Roman" w:hAnsi="Times New Roman" w:cs="Times New Roman"/>
          <w:sz w:val="24"/>
          <w:szCs w:val="24"/>
          <w:lang w:val="pt-PT"/>
        </w:rPr>
        <w:t xml:space="preserve"> ênfase da revisão recai </w:t>
      </w:r>
      <w:r>
        <w:rPr>
          <w:rFonts w:ascii="Times New Roman" w:hAnsi="Times New Roman" w:cs="Times New Roman"/>
          <w:sz w:val="24"/>
          <w:szCs w:val="24"/>
          <w:lang w:val="pt-PT"/>
        </w:rPr>
        <w:t xml:space="preserve">nas </w:t>
      </w:r>
      <w:r w:rsidR="000C02F5" w:rsidRPr="000C02F5">
        <w:rPr>
          <w:rFonts w:ascii="Times New Roman" w:hAnsi="Times New Roman" w:cs="Times New Roman"/>
          <w:sz w:val="24"/>
          <w:szCs w:val="24"/>
          <w:lang w:val="pt-PT"/>
        </w:rPr>
        <w:t xml:space="preserve">investigações anteriores sobre investimentos em FER, descrevendo e analisando as metodologias que estão sendo aplicadas na avaliação de investimento em tecnologias de energia renovável. </w:t>
      </w:r>
      <w:r w:rsidR="00B22B1F">
        <w:rPr>
          <w:rFonts w:ascii="Times New Roman" w:hAnsi="Times New Roman" w:cs="Times New Roman"/>
          <w:sz w:val="24"/>
          <w:szCs w:val="24"/>
          <w:lang w:val="pt-PT"/>
        </w:rPr>
        <w:t>Descreve</w:t>
      </w:r>
      <w:r w:rsidR="000C02F5" w:rsidRPr="000C02F5">
        <w:rPr>
          <w:rFonts w:ascii="Times New Roman" w:hAnsi="Times New Roman" w:cs="Times New Roman"/>
          <w:sz w:val="24"/>
          <w:szCs w:val="24"/>
          <w:lang w:val="pt-PT"/>
        </w:rPr>
        <w:t xml:space="preserve"> cada uma destas ferramentas </w:t>
      </w:r>
      <w:r w:rsidR="00B22B1F">
        <w:rPr>
          <w:rFonts w:ascii="Times New Roman" w:hAnsi="Times New Roman" w:cs="Times New Roman"/>
          <w:sz w:val="24"/>
          <w:szCs w:val="24"/>
          <w:lang w:val="pt-PT"/>
        </w:rPr>
        <w:t>de forma</w:t>
      </w:r>
      <w:r w:rsidR="000C02F5" w:rsidRPr="000C02F5">
        <w:rPr>
          <w:rFonts w:ascii="Times New Roman" w:hAnsi="Times New Roman" w:cs="Times New Roman"/>
          <w:sz w:val="24"/>
          <w:szCs w:val="24"/>
          <w:lang w:val="pt-PT"/>
        </w:rPr>
        <w:t xml:space="preserve"> breve</w:t>
      </w:r>
      <w:r w:rsidR="00B22B1F">
        <w:rPr>
          <w:rFonts w:ascii="Times New Roman" w:hAnsi="Times New Roman" w:cs="Times New Roman"/>
          <w:sz w:val="24"/>
          <w:szCs w:val="24"/>
          <w:lang w:val="pt-PT"/>
        </w:rPr>
        <w:t xml:space="preserve"> e d</w:t>
      </w:r>
      <w:r w:rsidR="000C02F5" w:rsidRPr="000C02F5">
        <w:rPr>
          <w:rFonts w:ascii="Times New Roman" w:hAnsi="Times New Roman" w:cs="Times New Roman"/>
          <w:sz w:val="24"/>
          <w:szCs w:val="24"/>
          <w:lang w:val="pt-PT"/>
        </w:rPr>
        <w:t xml:space="preserve">e </w:t>
      </w:r>
      <w:r w:rsidR="00B22B1F">
        <w:rPr>
          <w:rFonts w:ascii="Times New Roman" w:hAnsi="Times New Roman" w:cs="Times New Roman"/>
          <w:sz w:val="24"/>
          <w:szCs w:val="24"/>
          <w:lang w:val="pt-PT"/>
        </w:rPr>
        <w:t>acordo com a</w:t>
      </w:r>
      <w:r w:rsidR="000C02F5" w:rsidRPr="000C02F5">
        <w:rPr>
          <w:rFonts w:ascii="Times New Roman" w:hAnsi="Times New Roman" w:cs="Times New Roman"/>
          <w:sz w:val="24"/>
          <w:szCs w:val="24"/>
          <w:lang w:val="pt-PT"/>
        </w:rPr>
        <w:t xml:space="preserve"> realidade desta investigação</w:t>
      </w:r>
      <w:r w:rsidR="00B22B1F">
        <w:rPr>
          <w:rFonts w:ascii="Times New Roman" w:hAnsi="Times New Roman" w:cs="Times New Roman"/>
          <w:sz w:val="24"/>
          <w:szCs w:val="24"/>
          <w:lang w:val="pt-PT"/>
        </w:rPr>
        <w:t>,</w:t>
      </w:r>
      <w:r w:rsidR="000C02F5" w:rsidRPr="000C02F5">
        <w:rPr>
          <w:rFonts w:ascii="Times New Roman" w:hAnsi="Times New Roman" w:cs="Times New Roman"/>
          <w:sz w:val="24"/>
          <w:szCs w:val="24"/>
          <w:lang w:val="pt-PT"/>
        </w:rPr>
        <w:t xml:space="preserve"> não pretendemos apresentar uma revisão exaustiva.</w:t>
      </w:r>
    </w:p>
    <w:p w14:paraId="1C2DCAE2" w14:textId="4706E123" w:rsidR="000C02F5" w:rsidRPr="000C02F5" w:rsidRDefault="000C02F5" w:rsidP="00691500">
      <w:pPr>
        <w:spacing w:after="0" w:line="360" w:lineRule="auto"/>
        <w:ind w:left="1134" w:firstLine="709"/>
        <w:jc w:val="both"/>
        <w:rPr>
          <w:rFonts w:ascii="Times New Roman" w:hAnsi="Times New Roman" w:cs="Times New Roman"/>
          <w:sz w:val="24"/>
          <w:szCs w:val="24"/>
          <w:lang w:val="pt-PT"/>
        </w:rPr>
      </w:pPr>
      <w:r w:rsidRPr="000C02F5">
        <w:rPr>
          <w:rFonts w:ascii="Times New Roman" w:hAnsi="Times New Roman" w:cs="Times New Roman"/>
          <w:sz w:val="24"/>
          <w:szCs w:val="24"/>
          <w:lang w:val="pt-PT"/>
        </w:rPr>
        <w:lastRenderedPageBreak/>
        <w:t>O incentivo à energia renovável é considerado a chave para a política energética e para a promoção do desenvolvimento de baixo carbono no mix energético futuro. Consequentemente, este é o momento de investir em abordagens de transição que substituam</w:t>
      </w:r>
      <w:r w:rsidR="00B22B1F">
        <w:rPr>
          <w:rFonts w:ascii="Times New Roman" w:hAnsi="Times New Roman" w:cs="Times New Roman"/>
          <w:sz w:val="24"/>
          <w:szCs w:val="24"/>
          <w:lang w:val="pt-PT"/>
        </w:rPr>
        <w:t xml:space="preserve"> no futuro</w:t>
      </w:r>
      <w:r w:rsidRPr="000C02F5">
        <w:rPr>
          <w:rFonts w:ascii="Times New Roman" w:hAnsi="Times New Roman" w:cs="Times New Roman"/>
          <w:sz w:val="24"/>
          <w:szCs w:val="24"/>
          <w:lang w:val="pt-PT"/>
        </w:rPr>
        <w:t xml:space="preserve"> as usinas de combustíveis fósseis de alta emissão </w:t>
      </w:r>
      <w:r w:rsidR="00B22B1F">
        <w:rPr>
          <w:rFonts w:ascii="Times New Roman" w:hAnsi="Times New Roman" w:cs="Times New Roman"/>
          <w:sz w:val="24"/>
          <w:szCs w:val="24"/>
          <w:lang w:val="pt-PT"/>
        </w:rPr>
        <w:t xml:space="preserve">de CO2 </w:t>
      </w:r>
      <w:r w:rsidRPr="000C02F5">
        <w:rPr>
          <w:rFonts w:ascii="Times New Roman" w:hAnsi="Times New Roman" w:cs="Times New Roman"/>
          <w:sz w:val="24"/>
          <w:szCs w:val="24"/>
          <w:lang w:val="pt-PT"/>
        </w:rPr>
        <w:t xml:space="preserve">por usinas de energia renovável. Os investidores são a força motriz para impulsionar a transformação do atual sistema energético, </w:t>
      </w:r>
      <w:r w:rsidR="00B22B1F">
        <w:rPr>
          <w:rFonts w:ascii="Times New Roman" w:hAnsi="Times New Roman" w:cs="Times New Roman"/>
          <w:sz w:val="24"/>
          <w:szCs w:val="24"/>
          <w:lang w:val="pt-PT"/>
        </w:rPr>
        <w:t xml:space="preserve">onde cerca de 75% dos investimentos em ER foram representados pelo setor privado entre 2013 a 2020, segundo relatório da IRENA </w:t>
      </w:r>
      <w:r w:rsidR="00B22B1F">
        <w:rPr>
          <w:rFonts w:ascii="Times New Roman" w:hAnsi="Times New Roman" w:cs="Times New Roman"/>
          <w:sz w:val="24"/>
          <w:szCs w:val="24"/>
          <w:lang w:val="pt-PT"/>
        </w:rPr>
        <w:fldChar w:fldCharType="begin" w:fldLock="1"/>
      </w:r>
      <w:r w:rsidR="009B4C25">
        <w:rPr>
          <w:rFonts w:ascii="Times New Roman" w:hAnsi="Times New Roman" w:cs="Times New Roman"/>
          <w:sz w:val="24"/>
          <w:szCs w:val="24"/>
          <w:lang w:val="pt-PT"/>
        </w:rPr>
        <w:instrText>ADDIN CSL_CITATION {"citationItems":[{"id":"ITEM-1","itemData":{"ISBN":"9789292603342","ISSN":"00141011","abstract":"Provides a summary of the salient points from the Exxon World Energy Outlook to 2000. Suggests that a lower rate of economic growth is likely, at 3% p.a. as opposed to 3.3% between 1973-1979, and 5.3% between 1965-1973. Then reviews the implications of a transition from current energy patterns to those likely by 2000. This involves a consideration of energy demand and supply conditions, and an assumption that by then there will be a reduced dependence upon conventional oil supplies. -P.J.Shoebridge","author":[{"dropping-particle":"","family":"International Renewable Energy Agency (IRENA)","given":"","non-dropping-particle":"","parse-names":false,"suffix":""}],"container-title":"World Energy Transitions","id":"ITEM-1","issued":{"date-parts":[["2023"]]},"number-of-pages":"1-54","title":"World energy transitions outlook 2023","type":"report"},"uris":["http://www.mendeley.com/documents/?uuid=8a58610d-58cb-4fc7-85e9-921a5ff97b3f"]}],"mendeley":{"formattedCitation":"(4)","plainTextFormattedCitation":"(4)","previouslyFormattedCitation":"(4)"},"properties":{"noteIndex":0},"schema":"https://github.com/citation-style-language/schema/raw/master/csl-citation.json"}</w:instrText>
      </w:r>
      <w:r w:rsidR="00B22B1F">
        <w:rPr>
          <w:rFonts w:ascii="Times New Roman" w:hAnsi="Times New Roman" w:cs="Times New Roman"/>
          <w:sz w:val="24"/>
          <w:szCs w:val="24"/>
          <w:lang w:val="pt-PT"/>
        </w:rPr>
        <w:fldChar w:fldCharType="separate"/>
      </w:r>
      <w:r w:rsidR="00B22B1F" w:rsidRPr="00B22B1F">
        <w:rPr>
          <w:rFonts w:ascii="Times New Roman" w:hAnsi="Times New Roman" w:cs="Times New Roman"/>
          <w:noProof/>
          <w:sz w:val="24"/>
          <w:szCs w:val="24"/>
          <w:lang w:val="pt-PT"/>
        </w:rPr>
        <w:t>(4)</w:t>
      </w:r>
      <w:r w:rsidR="00B22B1F">
        <w:rPr>
          <w:rFonts w:ascii="Times New Roman" w:hAnsi="Times New Roman" w:cs="Times New Roman"/>
          <w:sz w:val="24"/>
          <w:szCs w:val="24"/>
          <w:lang w:val="pt-PT"/>
        </w:rPr>
        <w:fldChar w:fldCharType="end"/>
      </w:r>
      <w:r w:rsidRPr="000C02F5">
        <w:rPr>
          <w:rFonts w:ascii="Times New Roman" w:hAnsi="Times New Roman" w:cs="Times New Roman"/>
          <w:sz w:val="24"/>
          <w:szCs w:val="24"/>
          <w:lang w:val="pt-PT"/>
        </w:rPr>
        <w:t xml:space="preserve">. Os investidores estão especificamente interessados em saber qual é o momento certo para investir e se é viável investir em uma transição para energias renováveis. Portanto, é fundamental determinar o momento ideal para se comprometer com a transição. </w:t>
      </w:r>
    </w:p>
    <w:p w14:paraId="23CCEF15" w14:textId="4303D8AE" w:rsidR="000C02F5" w:rsidRPr="000C02F5" w:rsidRDefault="000C02F5" w:rsidP="00691500">
      <w:pPr>
        <w:spacing w:after="0" w:line="360" w:lineRule="auto"/>
        <w:ind w:left="1134" w:firstLine="709"/>
        <w:jc w:val="both"/>
        <w:rPr>
          <w:rFonts w:ascii="Times New Roman" w:hAnsi="Times New Roman" w:cs="Times New Roman"/>
          <w:sz w:val="24"/>
          <w:szCs w:val="24"/>
          <w:lang w:val="pt-PT"/>
        </w:rPr>
      </w:pPr>
      <w:r w:rsidRPr="000C02F5">
        <w:rPr>
          <w:rFonts w:ascii="Times New Roman" w:hAnsi="Times New Roman" w:cs="Times New Roman"/>
          <w:sz w:val="24"/>
          <w:szCs w:val="24"/>
          <w:lang w:val="pt-PT"/>
        </w:rPr>
        <w:t>A decisão de definir o indicador mais adequado para avaliar um investimento depende dos objetivos do projeto. Segundo Cucchiella et al</w:t>
      </w:r>
      <w:r w:rsidR="009B4C25">
        <w:rPr>
          <w:rFonts w:ascii="Times New Roman" w:hAnsi="Times New Roman" w:cs="Times New Roman"/>
          <w:sz w:val="24"/>
          <w:szCs w:val="24"/>
          <w:lang w:val="pt-PT"/>
        </w:rPr>
        <w:t xml:space="preserve"> </w:t>
      </w:r>
      <w:r w:rsidR="009B4C25">
        <w:rPr>
          <w:rFonts w:ascii="Times New Roman" w:hAnsi="Times New Roman" w:cs="Times New Roman"/>
          <w:sz w:val="24"/>
          <w:szCs w:val="24"/>
          <w:lang w:val="pt-PT"/>
        </w:rPr>
        <w:fldChar w:fldCharType="begin" w:fldLock="1"/>
      </w:r>
      <w:r w:rsidR="000E6908">
        <w:rPr>
          <w:rFonts w:ascii="Times New Roman" w:hAnsi="Times New Roman" w:cs="Times New Roman"/>
          <w:sz w:val="24"/>
          <w:szCs w:val="24"/>
          <w:lang w:val="pt-PT"/>
        </w:rPr>
        <w:instrText>ADDIN CSL_CITATION {"citationItems":[{"id":"ITEM-1","itemData":{"DOI":"10.1007/s10098-014-0839-z","ISSN":"16189558","abstract":"Abstract The management and exploitation of renewable energy sources is now recognised as central to sustainable development. Environmental concerns, recurring oil crises and market weaknesses, combined with the availability of power from natural resources and resulting possibilities for job creation and energy independence, have all pushed developed and developing countries towards new energy strategies that include RES. This paper analyses the profitability of potential investments in small, medium and large RE electrical power facilities, applying a Net Present Value (NPV) methodology. The proposed financial analysis permits strategic selection of an energy portfolio from among available sources and plant sizes. The paper then discusses potential constraints, and where possible applies the NPV methodology for estimating the necessary changes in decision-making. It defines the role of government incentive schemes in the financial results and evaluates the impact of variation in critical variables (subsidies, sale price of electricity, investment cost, operating cost and equivalent operating hours) on the estimation of NPV. Finally, the paper analyses the environmental impact of all the energy sources examined, examines the links with the financial results and proposes socio-economic policy considerations based on the entirety of the research results. While the methodology is applied to the Italian case, it could be modified to serve in other nations by adapting the input parameters to reflect the different regulatory and market contexts.","author":[{"dropping-particle":"","family":"Cucchiella","given":"Federica","non-dropping-particle":"","parse-names":false,"suffix":""},{"dropping-particle":"","family":"D'Adamo","given":"Idiano","non-dropping-particle":"","parse-names":false,"suffix":""},{"dropping-particle":"","family":"Gastaldi","given":"Massimo","non-dropping-particle":"","parse-names":false,"suffix":""}],"container-title":"Clean Technologies and Environmental Policy","id":"ITEM-1","issue":"4","issued":{"date-parts":[["2015"]]},"number-of-pages":"887-904","title":"Financial analysis for investment and policy decisions in the renewable energy sector","type":"report","volume":"17"},"uris":["http://www.mendeley.com/documents/?uuid=32b3c32d-af19-4b0b-890b-5b67334c05f0"]}],"mendeley":{"formattedCitation":"(12)","plainTextFormattedCitation":"(12)","previouslyFormattedCitation":"(11)"},"properties":{"noteIndex":0},"schema":"https://github.com/citation-style-language/schema/raw/master/csl-citation.json"}</w:instrText>
      </w:r>
      <w:r w:rsidR="009B4C25">
        <w:rPr>
          <w:rFonts w:ascii="Times New Roman" w:hAnsi="Times New Roman" w:cs="Times New Roman"/>
          <w:sz w:val="24"/>
          <w:szCs w:val="24"/>
          <w:lang w:val="pt-PT"/>
        </w:rPr>
        <w:fldChar w:fldCharType="separate"/>
      </w:r>
      <w:r w:rsidR="000E6908" w:rsidRPr="000E6908">
        <w:rPr>
          <w:rFonts w:ascii="Times New Roman" w:hAnsi="Times New Roman" w:cs="Times New Roman"/>
          <w:noProof/>
          <w:sz w:val="24"/>
          <w:szCs w:val="24"/>
          <w:lang w:val="pt-PT"/>
        </w:rPr>
        <w:t>(12)</w:t>
      </w:r>
      <w:r w:rsidR="009B4C25">
        <w:rPr>
          <w:rFonts w:ascii="Times New Roman" w:hAnsi="Times New Roman" w:cs="Times New Roman"/>
          <w:sz w:val="24"/>
          <w:szCs w:val="24"/>
          <w:lang w:val="pt-PT"/>
        </w:rPr>
        <w:fldChar w:fldCharType="end"/>
      </w:r>
      <w:r w:rsidRPr="000C02F5">
        <w:rPr>
          <w:rFonts w:ascii="Times New Roman" w:hAnsi="Times New Roman" w:cs="Times New Roman"/>
          <w:sz w:val="24"/>
          <w:szCs w:val="24"/>
          <w:lang w:val="pt-PT"/>
        </w:rPr>
        <w:t xml:space="preserve">, para um investidor privado, os objetivos são a maximização dos lucros e o método será a análise financeira. No caso de um decisor público, o objetivo é a maximização do bem-estar social, e o método de abordagem será a análise econômica. A mudança da análise financeira para a análise econômica requer uma mudança de preços de mercado para preços contábeis, para evitar imperfeições de mercado e externalidades, especialmente o custo social do carbono </w:t>
      </w:r>
      <w:r w:rsidR="009B4C25">
        <w:rPr>
          <w:rFonts w:ascii="Times New Roman" w:hAnsi="Times New Roman" w:cs="Times New Roman"/>
          <w:sz w:val="24"/>
          <w:szCs w:val="24"/>
          <w:lang w:val="pt-PT"/>
        </w:rPr>
        <w:fldChar w:fldCharType="begin" w:fldLock="1"/>
      </w:r>
      <w:r w:rsidR="000E6908">
        <w:rPr>
          <w:rFonts w:ascii="Times New Roman" w:hAnsi="Times New Roman" w:cs="Times New Roman"/>
          <w:sz w:val="24"/>
          <w:szCs w:val="24"/>
          <w:lang w:val="pt-PT"/>
        </w:rPr>
        <w:instrText>ADDIN CSL_CITATION {"citationItems":[{"id":"ITEM-1","itemData":{"DOI":"10.1016/j.scitotenv.2012.11.008","ISSN":"00489697","abstract":"In recent years, Europe has promoted a series of waste regulations to achieve greater protection of the environment. This objective can be obtained by adopting an integrated management system for the reduction of waste production and developing systems for waste sorting, energy recovery and waste recycling. Such interventions that find their justification in an environmental perspective must be also sustainable from an economic perspective. An analysis of the Italian situation highlights a dependency on landfills; this phenomenon must be reduced to identify actions aimed at safeguarding and protecting the environment. The aim of this paper is to analyse the economic and environmental benefits from diverting waste from landfills towards energy recovery in twenty Italian regions. © 2012 Elsevier B.V.","author":[{"dropping-particle":"","family":"Cucchiella","given":"Federica","non-dropping-particle":"","parse-names":false,"suffix":""},{"dropping-particle":"","family":"D'Adamo","given":"Idiano","non-dropping-particle":"","parse-names":false,"suffix":""},{"dropping-particle":"","family":"Gastaldi","given":"Massimo","non-dropping-particle":"","parse-names":false,"suffix":""}],"container-title":"Science of the Total Environment","id":"ITEM-1","issued":{"date-parts":[["2013"]]},"number-of-pages":"955-964","publisher":"Elsevier B.V.","title":"A multi-objective optimization strategy for energy plants in Italy","type":"report","volume":"443"},"uris":["http://www.mendeley.com/documents/?uuid=09cd66e5-9058-49af-9190-fa5f510ab5b4"]}],"mendeley":{"formattedCitation":"(13)","plainTextFormattedCitation":"(13)","previouslyFormattedCitation":"(12)"},"properties":{"noteIndex":0},"schema":"https://github.com/citation-style-language/schema/raw/master/csl-citation.json"}</w:instrText>
      </w:r>
      <w:r w:rsidR="009B4C25">
        <w:rPr>
          <w:rFonts w:ascii="Times New Roman" w:hAnsi="Times New Roman" w:cs="Times New Roman"/>
          <w:sz w:val="24"/>
          <w:szCs w:val="24"/>
          <w:lang w:val="pt-PT"/>
        </w:rPr>
        <w:fldChar w:fldCharType="separate"/>
      </w:r>
      <w:r w:rsidR="000E6908" w:rsidRPr="000E6908">
        <w:rPr>
          <w:rFonts w:ascii="Times New Roman" w:hAnsi="Times New Roman" w:cs="Times New Roman"/>
          <w:noProof/>
          <w:sz w:val="24"/>
          <w:szCs w:val="24"/>
          <w:lang w:val="pt-PT"/>
        </w:rPr>
        <w:t>(13)</w:t>
      </w:r>
      <w:r w:rsidR="009B4C25">
        <w:rPr>
          <w:rFonts w:ascii="Times New Roman" w:hAnsi="Times New Roman" w:cs="Times New Roman"/>
          <w:sz w:val="24"/>
          <w:szCs w:val="24"/>
          <w:lang w:val="pt-PT"/>
        </w:rPr>
        <w:fldChar w:fldCharType="end"/>
      </w:r>
      <w:r w:rsidRPr="000C02F5">
        <w:rPr>
          <w:rFonts w:ascii="Times New Roman" w:hAnsi="Times New Roman" w:cs="Times New Roman"/>
          <w:sz w:val="24"/>
          <w:szCs w:val="24"/>
          <w:lang w:val="pt-PT"/>
        </w:rPr>
        <w:t>.</w:t>
      </w:r>
    </w:p>
    <w:p w14:paraId="30B02783" w14:textId="77777777" w:rsidR="00D2783A" w:rsidRPr="0006237B" w:rsidRDefault="00D2783A" w:rsidP="00691500">
      <w:pPr>
        <w:spacing w:after="0" w:line="360" w:lineRule="auto"/>
        <w:ind w:left="1134" w:firstLine="709"/>
        <w:jc w:val="both"/>
        <w:rPr>
          <w:rFonts w:ascii="Times New Roman" w:hAnsi="Times New Roman" w:cs="Times New Roman"/>
          <w:sz w:val="24"/>
          <w:szCs w:val="24"/>
          <w:lang w:val="pt-PT"/>
        </w:rPr>
      </w:pPr>
    </w:p>
    <w:p w14:paraId="2578BD30" w14:textId="3559DDA4" w:rsidR="00BA3D29" w:rsidRPr="001A598A" w:rsidRDefault="00C56F3D" w:rsidP="00691500">
      <w:pPr>
        <w:pStyle w:val="Ttulo2"/>
        <w:numPr>
          <w:ilvl w:val="1"/>
          <w:numId w:val="2"/>
        </w:numPr>
        <w:spacing w:before="0" w:line="360" w:lineRule="auto"/>
        <w:ind w:left="1134" w:firstLine="709"/>
        <w:jc w:val="both"/>
        <w:rPr>
          <w:rFonts w:ascii="Times New Roman" w:hAnsi="Times New Roman" w:cs="Times New Roman"/>
          <w:sz w:val="24"/>
          <w:szCs w:val="24"/>
          <w:lang w:val="pt-PT"/>
        </w:rPr>
      </w:pPr>
      <w:bookmarkStart w:id="1" w:name="_Hlk111631256"/>
      <w:r w:rsidRPr="001A598A">
        <w:rPr>
          <w:rFonts w:ascii="Times New Roman" w:hAnsi="Times New Roman"/>
          <w:color w:val="000000" w:themeColor="text1"/>
          <w:sz w:val="32"/>
          <w:lang w:val="pt-PT"/>
        </w:rPr>
        <w:t>Metodologias Financeiras</w:t>
      </w:r>
      <w:r w:rsidR="00ED7F11" w:rsidRPr="001A598A">
        <w:rPr>
          <w:rFonts w:ascii="Times New Roman" w:hAnsi="Times New Roman"/>
          <w:color w:val="000000" w:themeColor="text1"/>
          <w:sz w:val="32"/>
          <w:lang w:val="pt-PT"/>
        </w:rPr>
        <w:t xml:space="preserve"> </w:t>
      </w:r>
      <w:bookmarkEnd w:id="1"/>
    </w:p>
    <w:p w14:paraId="073D24F9" w14:textId="5520C9CB" w:rsidR="00FD1DD1" w:rsidRPr="008C2173" w:rsidRDefault="00C56F3D" w:rsidP="00691500">
      <w:pPr>
        <w:spacing w:after="0" w:line="360" w:lineRule="auto"/>
        <w:ind w:left="1134" w:firstLine="709"/>
        <w:jc w:val="both"/>
        <w:rPr>
          <w:rFonts w:ascii="Times New Roman" w:hAnsi="Times New Roman" w:cs="Times New Roman"/>
          <w:color w:val="4472C4" w:themeColor="accent1"/>
          <w:sz w:val="24"/>
          <w:szCs w:val="24"/>
          <w:lang w:val="pt-PT"/>
        </w:rPr>
      </w:pPr>
      <w:r w:rsidRPr="00C56F3D">
        <w:rPr>
          <w:rFonts w:ascii="Times New Roman" w:hAnsi="Times New Roman" w:cs="Times New Roman"/>
          <w:sz w:val="24"/>
          <w:szCs w:val="24"/>
          <w:lang w:val="pt-PT"/>
        </w:rPr>
        <w:t>Esta seção</w:t>
      </w:r>
      <w:r w:rsidR="009E3063">
        <w:rPr>
          <w:rFonts w:ascii="Times New Roman" w:hAnsi="Times New Roman" w:cs="Times New Roman"/>
          <w:sz w:val="24"/>
          <w:szCs w:val="24"/>
          <w:lang w:val="pt-PT"/>
        </w:rPr>
        <w:t xml:space="preserve"> </w:t>
      </w:r>
      <w:r w:rsidRPr="00C56F3D">
        <w:rPr>
          <w:rFonts w:ascii="Times New Roman" w:hAnsi="Times New Roman" w:cs="Times New Roman"/>
          <w:sz w:val="24"/>
          <w:szCs w:val="24"/>
          <w:lang w:val="pt-PT"/>
        </w:rPr>
        <w:t>descreve e analisa as metodologias que habitualmente são aplicadas na avaliação de um investimento em tecnologias de energias renováveis e, não se pretende dar uma lista exaustiva de todos os métodos disponíveis, mas apenas apresentar os principais, que incidem sobretudo na questão financeira . (por exemplo, NPV, IRR, Payback e ROI)</w:t>
      </w:r>
      <w:r w:rsidR="00D37FF0">
        <w:rPr>
          <w:rFonts w:ascii="Times New Roman" w:hAnsi="Times New Roman" w:cs="Times New Roman"/>
          <w:sz w:val="24"/>
          <w:szCs w:val="24"/>
          <w:lang w:val="pt-PT"/>
        </w:rPr>
        <w:t>,</w:t>
      </w:r>
      <w:r w:rsidRPr="00C56F3D">
        <w:rPr>
          <w:rFonts w:ascii="Times New Roman" w:hAnsi="Times New Roman" w:cs="Times New Roman"/>
          <w:sz w:val="24"/>
          <w:szCs w:val="24"/>
          <w:lang w:val="pt-PT"/>
        </w:rPr>
        <w:t xml:space="preserve"> Análise de Opções Reais (ROA)</w:t>
      </w:r>
      <w:r w:rsidR="00D37FF0">
        <w:rPr>
          <w:rFonts w:ascii="Times New Roman" w:hAnsi="Times New Roman" w:cs="Times New Roman"/>
          <w:sz w:val="24"/>
          <w:szCs w:val="24"/>
          <w:lang w:val="pt-PT"/>
        </w:rPr>
        <w:t xml:space="preserve"> e Valor Presente Líquido Anualizado</w:t>
      </w:r>
      <w:r w:rsidRPr="00C56F3D">
        <w:rPr>
          <w:rFonts w:ascii="Times New Roman" w:hAnsi="Times New Roman" w:cs="Times New Roman"/>
          <w:sz w:val="24"/>
          <w:szCs w:val="24"/>
          <w:lang w:val="pt-PT"/>
        </w:rPr>
        <w:t>. Em seguida, esses métodos são brevemente descritos ao longo desta seção.</w:t>
      </w:r>
    </w:p>
    <w:p w14:paraId="683D202C" w14:textId="74754A7A" w:rsidR="009F3466" w:rsidRDefault="008C2173" w:rsidP="00691500">
      <w:pPr>
        <w:spacing w:after="0" w:line="360" w:lineRule="auto"/>
        <w:ind w:left="1134" w:firstLine="709"/>
        <w:jc w:val="both"/>
        <w:rPr>
          <w:rFonts w:ascii="Times New Roman" w:hAnsi="Times New Roman" w:cs="Times New Roman"/>
          <w:sz w:val="24"/>
          <w:szCs w:val="24"/>
          <w:lang w:val="pt-PT"/>
        </w:rPr>
      </w:pPr>
      <w:r w:rsidRPr="008C2173">
        <w:rPr>
          <w:rFonts w:ascii="Times New Roman" w:hAnsi="Times New Roman" w:cs="Times New Roman"/>
          <w:sz w:val="24"/>
          <w:szCs w:val="24"/>
          <w:lang w:val="pt-PT"/>
        </w:rPr>
        <w:t xml:space="preserve">As metodologias clássicas de cálculo para análise de investimentos são bem conhecidas e difundidas na literatura, que são: </w:t>
      </w:r>
      <w:r>
        <w:rPr>
          <w:rFonts w:ascii="Times New Roman" w:hAnsi="Times New Roman" w:cs="Times New Roman"/>
          <w:sz w:val="24"/>
          <w:szCs w:val="24"/>
          <w:lang w:val="pt-PT"/>
        </w:rPr>
        <w:t>Payback</w:t>
      </w:r>
      <w:r w:rsidRPr="008C2173">
        <w:rPr>
          <w:rFonts w:ascii="Times New Roman" w:hAnsi="Times New Roman" w:cs="Times New Roman"/>
          <w:sz w:val="24"/>
          <w:szCs w:val="24"/>
          <w:lang w:val="pt-PT"/>
        </w:rPr>
        <w:t>, Valor Presente Líquido (VPL), Taxa Interna de Retorno (TIR), Taxa Interna de Retorno Modificada e Retorno do Investimento (ROI).</w:t>
      </w:r>
    </w:p>
    <w:p w14:paraId="5446BDA9" w14:textId="77777777" w:rsidR="008C2173" w:rsidRPr="008C2173" w:rsidRDefault="008C2173" w:rsidP="00691500">
      <w:pPr>
        <w:spacing w:after="0" w:line="360" w:lineRule="auto"/>
        <w:ind w:left="1134" w:firstLine="709"/>
        <w:jc w:val="both"/>
        <w:rPr>
          <w:rFonts w:ascii="Times New Roman" w:hAnsi="Times New Roman" w:cs="Times New Roman"/>
          <w:sz w:val="24"/>
          <w:szCs w:val="24"/>
          <w:lang w:val="pt-PT"/>
        </w:rPr>
      </w:pPr>
    </w:p>
    <w:p w14:paraId="582BAC7D" w14:textId="0E7E41E4" w:rsidR="003E1C7F" w:rsidRPr="002227A2" w:rsidRDefault="003E1C7F" w:rsidP="00691500">
      <w:pPr>
        <w:pStyle w:val="Ttulo3"/>
        <w:numPr>
          <w:ilvl w:val="3"/>
          <w:numId w:val="6"/>
        </w:numPr>
        <w:spacing w:before="0" w:line="360" w:lineRule="auto"/>
        <w:ind w:left="1134" w:firstLine="709"/>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 xml:space="preserve">Payback </w:t>
      </w:r>
    </w:p>
    <w:p w14:paraId="1E8514EC" w14:textId="77777777" w:rsidR="003E1C7F" w:rsidRPr="00BC5C3E" w:rsidRDefault="003E1C7F" w:rsidP="00691500">
      <w:pPr>
        <w:spacing w:after="0" w:line="360" w:lineRule="auto"/>
        <w:ind w:left="1134" w:firstLine="709"/>
        <w:jc w:val="both"/>
        <w:rPr>
          <w:rFonts w:ascii="Times New Roman" w:hAnsi="Times New Roman" w:cs="Times New Roman"/>
          <w:color w:val="000000" w:themeColor="text1"/>
          <w:sz w:val="24"/>
          <w:szCs w:val="24"/>
        </w:rPr>
      </w:pPr>
    </w:p>
    <w:p w14:paraId="72806F95" w14:textId="19EA35F5" w:rsidR="003E1C7F" w:rsidRPr="008C2173" w:rsidRDefault="008C2173" w:rsidP="00691500">
      <w:pPr>
        <w:spacing w:after="0" w:line="360" w:lineRule="auto"/>
        <w:ind w:left="1134" w:firstLine="709"/>
        <w:jc w:val="both"/>
        <w:rPr>
          <w:rFonts w:ascii="Times New Roman" w:hAnsi="Times New Roman" w:cs="Times New Roman"/>
          <w:color w:val="000000" w:themeColor="text1"/>
          <w:sz w:val="24"/>
          <w:szCs w:val="24"/>
          <w:lang w:val="pt-PT"/>
        </w:rPr>
      </w:pPr>
      <w:r w:rsidRPr="008C2173">
        <w:rPr>
          <w:rFonts w:ascii="Times New Roman" w:hAnsi="Times New Roman" w:cs="Times New Roman"/>
          <w:color w:val="000000" w:themeColor="text1"/>
          <w:sz w:val="24"/>
          <w:szCs w:val="24"/>
          <w:lang w:val="pt-PT"/>
        </w:rPr>
        <w:t xml:space="preserve">O método do Payback é o período necessário para recuperar o investimento ou o tempo necessário para que as entradas líquidas de caixa de um projeto sejam equivalentes ao valor investido. </w:t>
      </w:r>
      <w:r w:rsidR="003E1C7F" w:rsidRPr="00BC5C3E">
        <w:rPr>
          <w:rFonts w:ascii="Times New Roman" w:hAnsi="Times New Roman" w:cs="Times New Roman"/>
          <w:color w:val="000000" w:themeColor="text1"/>
          <w:sz w:val="24"/>
          <w:szCs w:val="24"/>
        </w:rPr>
        <w:fldChar w:fldCharType="begin" w:fldLock="1"/>
      </w:r>
      <w:r w:rsidR="000E6908">
        <w:rPr>
          <w:rFonts w:ascii="Times New Roman" w:hAnsi="Times New Roman" w:cs="Times New Roman"/>
          <w:color w:val="000000" w:themeColor="text1"/>
          <w:sz w:val="24"/>
          <w:szCs w:val="24"/>
          <w:lang w:val="pt-PT"/>
        </w:rPr>
        <w:instrText>ADDIN CSL_CITATION {"citationItems":[{"id":"ITEM-1","itemData":{"DOI":"10.1016/j.renene.2014.01.038","ISSN":"09601481","abstract":"Several methods can be employed to evaluate investment in energy production. On one hand, traditional methods (Net Present Value (NPV) or Internal Rate of Return (IRR), for example) ignore certain project characteristics that may influence its evaluation, such as irreversibility, uncertainty and management flexibility. Nevertheless, the Real Option Approach (ROA) has an advantage over the application of traditional methods, since the prior uncertainties are taken into account. Thus, the main objective of this study is to apply ROA to a case-study (mini-hydro plant) through the use of the binomial tree developed by Cox, Ross and Rubinstein in 1979. This study concludes that the value of ROA is higher than the value of NPV because the investor can get better information and uncertainty is reduced when he has the option to defer the investment. In addition to providing a deep analysis on the major gaps in energy investment evaluation, this work contributes to a better understanding of the usefulness of ROA. © 2014 Elsevier Ltd.","author":[{"dropping-particle":"","family":"Santos","given":"Lúcia","non-dropping-particle":"","parse-names":false,"suffix":""},{"dropping-particle":"","family":"Soares","given":"Isabel","non-dropping-particle":"","parse-names":false,"suffix":""},{"dropping-particle":"","family":"Mendes","given":"Carla","non-dropping-particle":"","parse-names":false,"suffix":""},{"dropping-particle":"","family":"Ferreira","given":"Paula","non-dropping-particle":"","parse-names":false,"suffix":""}],"container-title":"Renewable Energy","id":"ITEM-1","issued":{"date-parts":[["2014"]]},"page":"588-594","publisher":"Elsevier Ltd","title":"Real Options versus Traditional Methods to assess Renewable Energy Projects","type":"article-journal","volume":"68"},"uris":["http://www.mendeley.com/documents/?uuid=f9da8d5d-d12d-4a65-82dd-22b66ec8e351"]},{"id":"ITEM-2","itemData":{"DOI":"10.1016/j.rser.2015.01.068","ISSN":"18790690","abstract":"This paper provides a comprehensive review of the current state of the art of the economics and socio-economics of ocean renewable energy (ORE); the many ways in which the viability and impacts of an ORE project are assessed, and an analysis of the current weaknesses, issues or inappropriateness of the metrics and methodologies used in their definition and presentation. The outcomes of this paper are anticipated to benefit the ORE and wider renewable sector as a whole. The review revealed that, for the most part, the current study of economics and socio-economics of ORE remain separate and discrete areas of research. The economic methods utilised appear to be comprehensive but are limited to project (or private investor) level. The methods identified for socioeconomic assessment fall between traditional, and now routine, environmental assessment approaches and more novel holistic approaches such as ecosystem services and life cycle assessment. The novel section of the paper explored the connectivity between the economics and socio-economics of ORE in relation to project developments and policy/planning. A visualisation method was created of concentric rings intersected by related axis of economic, socio-economic and environment, and enabled the examination of the benefits arising from the connectivity between the two spheres. The concept of sustainable development process and the integration of environmental assessment for ORE was also explored and how it responds to differing stakeholder aspirations and interpretations. The analysis revealed that there was a divergence between public and private economic and socioeconomic assessments for ORE: environmental assessment is primarily a public responsibility but with significant inputs from the private developer involved while economic assessments are conducted primarily by the developer and/or investor at their own behest. However, the two spheres of economic and socio-economic for ORE are highly connected and synergistic and must be examined in a holistic manner.","author":[{"dropping-particle":"","family":"Dalton","given":"Gordon","non-dropping-particle":"","parse-names":false,"suffix":""},{"dropping-particle":"","family":"Allan","given":"Grant","non-dropping-particle":"","parse-names":false,"suffix":""},{"dropping-particle":"","family":"Beaumont","given":"Nicola","non-dropping-particle":"","parse-names":false,"suffix":""},{"dropping-particle":"","family":"Georgakaki","given":"Aliki","non-dropping-particle":"","parse-names":false,"suffix":""},{"dropping-particle":"","family":"Hacking","given":"Nick","non-dropping-particle":"","parse-names":false,"suffix":""},{"dropping-particle":"","family":"Hooper","given":"Tara","non-dropping-particle":"","parse-names":false,"suffix":""},{"dropping-particle":"","family":"Kerr","given":"Sandy","non-dropping-particle":"","parse-names":false,"suffix":""},{"dropping-particle":"","family":"O'Hagan","given":"Anne Marie","non-dropping-particle":"","parse-names":false,"suffix":""},{"dropping-particle":"","family":"Reilly","given":"Kieran","non-dropping-particle":"","parse-names":false,"suffix":""},{"dropping-particle":"","family":"Ricci","given":"Pierpaolo","non-dropping-particle":"","parse-names":false,"suffix":""},{"dropping-particle":"","family":"Sheng","given":"Wanan","non-dropping-particle":"","parse-names":false,"suffix":""},{"dropping-particle":"","family":"Stallard","given":"Tim","non-dropping-particle":"","parse-names":false,"suffix":""}],"container-title":"Renewable and Sustainable Energy Reviews","id":"ITEM-2","issued":{"date-parts":[["2015"]]},"page":"850-878","publisher":"Elsevier","title":"Economic and socio-economic assessment methods for ocean renewable energy: Public and private perspectives","type":"article-journal","volume":"45"},"uris":["http://www.mendeley.com/documents/?uuid=39a89efa-652d-4e83-bccb-51f611f5144e"]},{"id":"ITEM-3","itemData":{"DOI":"10.2307/j.ctt7sncv.4","abstract":"This paper determines the time series behavior of investment, output, and prices in a competitive industry with a stochastic demand. It is shown, first, that the equilibrium development for the industry solves a particular dynamic programming problem (maximization of \"consumer surplus\"). This problem is then studied to determine the characteristics of the equilibrium paths. CR - Copyright &amp;169; 1971 The Econometric Society","author":[{"dropping-particle":"","family":"Dixit","given":"Avinash K.","non-dropping-particle":"","parse-names":false,"suffix":""},{"dropping-particle":"","family":"Pindyck","given":"Robert S.","non-dropping-particle":"","parse-names":false,"suffix":""}],"container-title":"Investment under Uncertainty","id":"ITEM-3","issued":{"date-parts":[["2019"]]},"page":"3-25","title":"A New View of Investment","type":"chapter"},"uris":["http://www.mendeley.com/documents/?uuid=236c92f5-a3ce-42f9-8980-19df944275f2"]},{"id":"ITEM-4","itemData":{"ISBN":"9788580554328","author":[{"dropping-particle":"","family":"Ross","given":"Stephen A.","non-dropping-particle":"","parse-names":false,"suffix":""},{"dropping-particle":"","family":"Westerfield","given":"Randolph W.","non-dropping-particle":"","parse-names":false,"suffix":""},{"dropping-particle":"","family":"Jaffe","given":"Jeffrey","non-dropping-particle":"","parse-names":false,"suffix":""},{"dropping-particle":"","family":"Lamb","given":"Roberto","non-dropping-particle":"","parse-names":false,"suffix":""}],"id":"ITEM-4","issued":{"date-parts":[["2015"]]},"number-of-pages":"1196","title":"Administração financeira : versão brasileira de corporate finance","type":"book"},"uris":["http://www.mendeley.com/documents/?uuid=857e68c9-b1b6-43d5-9aff-b7b15f6f7bbd"]}],"mendeley":{"formattedCitation":"(14–17)","plainTextFormattedCitation":"(14–17)","previouslyFormattedCitation":"(13–16)"},"properties":{"noteIndex":0},"schema":"https://github.com/citation-style-language/schema/raw/master/csl-citation.json"}</w:instrText>
      </w:r>
      <w:r w:rsidR="003E1C7F" w:rsidRPr="00BC5C3E">
        <w:rPr>
          <w:rFonts w:ascii="Times New Roman" w:hAnsi="Times New Roman" w:cs="Times New Roman"/>
          <w:color w:val="000000" w:themeColor="text1"/>
          <w:sz w:val="24"/>
          <w:szCs w:val="24"/>
        </w:rPr>
        <w:fldChar w:fldCharType="separate"/>
      </w:r>
      <w:r w:rsidR="000E6908" w:rsidRPr="000E6908">
        <w:rPr>
          <w:rFonts w:ascii="Times New Roman" w:hAnsi="Times New Roman" w:cs="Times New Roman"/>
          <w:noProof/>
          <w:color w:val="000000" w:themeColor="text1"/>
          <w:sz w:val="24"/>
          <w:szCs w:val="24"/>
          <w:lang w:val="pt-PT"/>
        </w:rPr>
        <w:t>(14–17)</w:t>
      </w:r>
      <w:r w:rsidR="003E1C7F" w:rsidRPr="00BC5C3E">
        <w:rPr>
          <w:rFonts w:ascii="Times New Roman" w:hAnsi="Times New Roman" w:cs="Times New Roman"/>
          <w:color w:val="000000" w:themeColor="text1"/>
          <w:sz w:val="24"/>
          <w:szCs w:val="24"/>
        </w:rPr>
        <w:fldChar w:fldCharType="end"/>
      </w:r>
      <w:r w:rsidR="003E1C7F" w:rsidRPr="008C2173">
        <w:rPr>
          <w:rFonts w:ascii="Times New Roman" w:hAnsi="Times New Roman" w:cs="Times New Roman"/>
          <w:color w:val="000000" w:themeColor="text1"/>
          <w:sz w:val="24"/>
          <w:szCs w:val="24"/>
          <w:lang w:val="pt-PT"/>
        </w:rPr>
        <w:t xml:space="preserve"> (equa</w:t>
      </w:r>
      <w:r w:rsidRPr="008C2173">
        <w:rPr>
          <w:rFonts w:ascii="Times New Roman" w:hAnsi="Times New Roman" w:cs="Times New Roman"/>
          <w:color w:val="000000" w:themeColor="text1"/>
          <w:sz w:val="24"/>
          <w:szCs w:val="24"/>
          <w:lang w:val="pt-PT"/>
        </w:rPr>
        <w:t>ção</w:t>
      </w:r>
      <w:r w:rsidR="003E1C7F" w:rsidRPr="008C2173">
        <w:rPr>
          <w:rFonts w:ascii="Times New Roman" w:hAnsi="Times New Roman" w:cs="Times New Roman"/>
          <w:color w:val="000000" w:themeColor="text1"/>
          <w:sz w:val="24"/>
          <w:szCs w:val="24"/>
          <w:lang w:val="pt-PT"/>
        </w:rPr>
        <w:t xml:space="preserve"> </w:t>
      </w:r>
      <w:r w:rsidR="00163709" w:rsidRPr="008C2173">
        <w:rPr>
          <w:rFonts w:ascii="Times New Roman" w:hAnsi="Times New Roman" w:cs="Times New Roman"/>
          <w:color w:val="000000" w:themeColor="text1"/>
          <w:sz w:val="24"/>
          <w:szCs w:val="24"/>
          <w:lang w:val="pt-PT"/>
        </w:rPr>
        <w:t>1</w:t>
      </w:r>
      <w:r w:rsidR="003E1C7F" w:rsidRPr="008C2173">
        <w:rPr>
          <w:rFonts w:ascii="Times New Roman" w:hAnsi="Times New Roman" w:cs="Times New Roman"/>
          <w:color w:val="000000" w:themeColor="text1"/>
          <w:sz w:val="24"/>
          <w:szCs w:val="24"/>
          <w:lang w:val="pt-PT"/>
        </w:rPr>
        <w:t xml:space="preserve">). </w:t>
      </w:r>
    </w:p>
    <w:p w14:paraId="44459CC4" w14:textId="77777777" w:rsidR="003E1C7F" w:rsidRPr="008C2173" w:rsidRDefault="003E1C7F" w:rsidP="00691500">
      <w:pPr>
        <w:spacing w:after="0" w:line="360" w:lineRule="auto"/>
        <w:ind w:left="1134" w:firstLine="709"/>
        <w:jc w:val="both"/>
        <w:rPr>
          <w:rFonts w:ascii="Times New Roman" w:hAnsi="Times New Roman" w:cs="Times New Roman"/>
          <w:sz w:val="22"/>
          <w:szCs w:val="22"/>
          <w:lang w:val="pt-PT"/>
        </w:rPr>
      </w:pPr>
    </w:p>
    <w:p w14:paraId="3D9BEBF0" w14:textId="74ECDAF6" w:rsidR="003E1C7F" w:rsidRPr="008C2173" w:rsidRDefault="003E1C7F" w:rsidP="00691500">
      <w:pPr>
        <w:spacing w:after="0" w:line="360" w:lineRule="auto"/>
        <w:ind w:left="1134"/>
        <w:jc w:val="both"/>
        <w:rPr>
          <w:rFonts w:ascii="Times New Roman" w:hAnsi="Times New Roman" w:cs="Times New Roman"/>
          <w:sz w:val="24"/>
          <w:szCs w:val="24"/>
          <w:lang w:val="pt-PT"/>
        </w:rPr>
      </w:pPr>
      <w:r w:rsidRPr="008C2173">
        <w:rPr>
          <w:rFonts w:ascii="Times New Roman" w:hAnsi="Times New Roman" w:cs="Times New Roman"/>
          <w:sz w:val="24"/>
          <w:szCs w:val="24"/>
          <w:lang w:val="pt-PT"/>
        </w:rPr>
        <w:t>Payback=</w:t>
      </w:r>
      <m:oMath>
        <m:d>
          <m:dPr>
            <m:begChr m:val="⌈"/>
            <m:endChr m:val="⌉"/>
            <m:ctrlPr>
              <w:rPr>
                <w:rFonts w:ascii="Cambria Math" w:hAnsi="Cambria Math" w:cs="Times New Roman"/>
                <w:i/>
                <w:sz w:val="24"/>
                <w:szCs w:val="24"/>
              </w:rPr>
            </m:ctrlPr>
          </m:dPr>
          <m:e>
            <m:f>
              <m:fPr>
                <m:type m:val="skw"/>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m:t>
                        </m:r>
                        <m:r>
                          <w:rPr>
                            <w:rFonts w:ascii="Cambria Math" w:hAnsi="Cambria Math" w:cs="Times New Roman"/>
                            <w:sz w:val="24"/>
                            <w:szCs w:val="24"/>
                            <w:lang w:val="pt-PT"/>
                          </w:rPr>
                          <m:t>=0</m:t>
                        </m:r>
                      </m:sub>
                      <m:sup>
                        <m:r>
                          <w:rPr>
                            <w:rFonts w:ascii="Cambria Math" w:hAnsi="Cambria Math" w:cs="Times New Roman"/>
                            <w:sz w:val="24"/>
                            <w:szCs w:val="24"/>
                          </w:rPr>
                          <m:t>n</m:t>
                        </m:r>
                        <m:r>
                          <w:rPr>
                            <w:rFonts w:ascii="Cambria Math" w:hAnsi="Cambria Math" w:cs="Times New Roman"/>
                            <w:sz w:val="24"/>
                            <w:szCs w:val="24"/>
                            <w:lang w:val="pt-PT"/>
                          </w:rPr>
                          <m:t xml:space="preserve">=1 </m:t>
                        </m:r>
                      </m:sup>
                      <m:e>
                        <m:f>
                          <m:fPr>
                            <m:type m:val="skw"/>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lang w:val="pt-PT"/>
                                      </w:rPr>
                                      <m:t>1+</m:t>
                                    </m:r>
                                    <m:r>
                                      <w:rPr>
                                        <w:rFonts w:ascii="Cambria Math" w:hAnsi="Cambria Math" w:cs="Times New Roman"/>
                                        <w:sz w:val="24"/>
                                        <w:szCs w:val="24"/>
                                      </w:rPr>
                                      <m:t>i</m:t>
                                    </m:r>
                                  </m:e>
                                </m:d>
                              </m:e>
                              <m:sup>
                                <m:r>
                                  <w:rPr>
                                    <w:rFonts w:ascii="Cambria Math" w:hAnsi="Cambria Math" w:cs="Times New Roman"/>
                                    <w:sz w:val="24"/>
                                    <w:szCs w:val="24"/>
                                  </w:rPr>
                                  <m:t>t</m:t>
                                </m:r>
                              </m:sup>
                            </m:sSup>
                          </m:den>
                        </m:f>
                      </m:e>
                    </m:nary>
                  </m:e>
                </m:d>
              </m:num>
              <m:den>
                <m:f>
                  <m:fPr>
                    <m:type m:val="skw"/>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m:t>
                        </m:r>
                        <m:r>
                          <w:rPr>
                            <w:rFonts w:ascii="Cambria Math" w:hAnsi="Cambria Math" w:cs="Times New Roman"/>
                            <w:sz w:val="24"/>
                            <w:szCs w:val="24"/>
                            <w:lang w:val="pt-PT"/>
                          </w:rPr>
                          <m:t>=1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NR</m:t>
                            </m:r>
                          </m:e>
                          <m:sub>
                            <m:r>
                              <w:rPr>
                                <w:rFonts w:ascii="Cambria Math" w:hAnsi="Cambria Math" w:cs="Times New Roman"/>
                                <w:sz w:val="24"/>
                                <w:szCs w:val="24"/>
                              </w:rPr>
                              <m:t>t</m:t>
                            </m:r>
                          </m:sub>
                        </m:sSub>
                      </m:e>
                    </m:nary>
                  </m:num>
                  <m:den>
                    <m:d>
                      <m:dPr>
                        <m:begChr m:val="["/>
                        <m:endChr m:val="]"/>
                        <m:ctrlPr>
                          <w:rPr>
                            <w:rFonts w:ascii="Cambria Math" w:hAnsi="Cambria Math" w:cs="Times New Roman"/>
                            <w:i/>
                            <w:sz w:val="24"/>
                            <w:szCs w:val="24"/>
                          </w:rPr>
                        </m:ctrlPr>
                      </m:dPr>
                      <m:e>
                        <m:f>
                          <m:fPr>
                            <m:type m:val="skw"/>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lang w:val="pt-PT"/>
                                      </w:rPr>
                                      <m:t>1+</m:t>
                                    </m:r>
                                    <m:r>
                                      <w:rPr>
                                        <w:rFonts w:ascii="Cambria Math" w:hAnsi="Cambria Math" w:cs="Times New Roman"/>
                                        <w:sz w:val="24"/>
                                        <w:szCs w:val="24"/>
                                      </w:rPr>
                                      <m:t>i</m:t>
                                    </m:r>
                                  </m:e>
                                </m:d>
                              </m:e>
                              <m:sup>
                                <m:r>
                                  <w:rPr>
                                    <w:rFonts w:ascii="Cambria Math" w:hAnsi="Cambria Math" w:cs="Times New Roman"/>
                                    <w:sz w:val="24"/>
                                    <w:szCs w:val="24"/>
                                  </w:rPr>
                                  <m:t>t</m:t>
                                </m:r>
                              </m:sup>
                            </m:sSup>
                          </m:num>
                          <m:den>
                            <m:r>
                              <w:rPr>
                                <w:rFonts w:ascii="Cambria Math" w:hAnsi="Cambria Math" w:cs="Times New Roman"/>
                                <w:sz w:val="24"/>
                                <w:szCs w:val="24"/>
                              </w:rPr>
                              <m:t>n</m:t>
                            </m:r>
                          </m:den>
                        </m:f>
                      </m:e>
                    </m:d>
                  </m:den>
                </m:f>
              </m:den>
            </m:f>
          </m:e>
        </m:d>
      </m:oMath>
      <w:r w:rsidR="007F5F18" w:rsidRPr="008C2173">
        <w:rPr>
          <w:rFonts w:ascii="Times New Roman" w:hAnsi="Times New Roman" w:cs="Times New Roman"/>
          <w:sz w:val="24"/>
          <w:szCs w:val="24"/>
          <w:lang w:val="pt-PT"/>
        </w:rPr>
        <w:t xml:space="preserve"> </w:t>
      </w:r>
      <w:r w:rsidRPr="007F5F18">
        <w:rPr>
          <w:rFonts w:ascii="Times New Roman" w:hAnsi="Times New Roman" w:cs="Times New Roman"/>
          <w:color w:val="000000" w:themeColor="text1"/>
          <w:sz w:val="24"/>
          <w:szCs w:val="24"/>
        </w:rPr>
        <w:fldChar w:fldCharType="begin" w:fldLock="1"/>
      </w:r>
      <w:r w:rsidR="000E6908">
        <w:rPr>
          <w:rFonts w:ascii="Times New Roman" w:hAnsi="Times New Roman" w:cs="Times New Roman"/>
          <w:color w:val="000000" w:themeColor="text1"/>
          <w:sz w:val="24"/>
          <w:szCs w:val="24"/>
          <w:lang w:val="pt-PT"/>
        </w:rPr>
        <w:instrText>ADDIN CSL_CITATION {"citationItems":[{"id":"ITEM-1","itemData":{"DOI":"10.1016/j.renene.2014.01.038","ISSN":"09601481","abstract":"Several methods can be employed to evaluate investment in energy production. On one hand, traditional methods (Net Present Value (NPV) or Internal Rate of Return (IRR), for example) ignore certain project characteristics that may influence its evaluation, such as irreversibility, uncertainty and management flexibility. Nevertheless, the Real Option Approach (ROA) has an advantage over the application of traditional methods, since the prior uncertainties are taken into account. Thus, the main objective of this study is to apply ROA to a case-study (mini-hydro plant) through the use of the binomial tree developed by Cox, Ross and Rubinstein in 1979. This study concludes that the value of ROA is higher than the value of NPV because the investor can get better information and uncertainty is reduced when he has the option to defer the investment. In addition to providing a deep analysis on the major gaps in energy investment evaluation, this work contributes to a better understanding of the usefulness of ROA. © 2014 Elsevier Ltd.","author":[{"dropping-particle":"","family":"Santos","given":"Lúcia","non-dropping-particle":"","parse-names":false,"suffix":""},{"dropping-particle":"","family":"Soares","given":"Isabel","non-dropping-particle":"","parse-names":false,"suffix":""},{"dropping-particle":"","family":"Mendes","given":"Carla","non-dropping-particle":"","parse-names":false,"suffix":""},{"dropping-particle":"","family":"Ferreira","given":"Paula","non-dropping-particle":"","parse-names":false,"suffix":""}],"container-title":"Renewable Energy","id":"ITEM-1","issued":{"date-parts":[["2014"]]},"page":"588-594","publisher":"Elsevier Ltd","title":"Real Options versus Traditional Methods to assess Renewable Energy Projects","type":"article-journal","volume":"68"},"uris":["http://www.mendeley.com/documents/?uuid=f9da8d5d-d12d-4a65-82dd-22b66ec8e351"]}],"mendeley":{"formattedCitation":"(14)","plainTextFormattedCitation":"(14)","previouslyFormattedCitation":"(13)"},"properties":{"noteIndex":0},"schema":"https://github.com/citation-style-language/schema/raw/master/csl-citation.json"}</w:instrText>
      </w:r>
      <w:r w:rsidRPr="007F5F18">
        <w:rPr>
          <w:rFonts w:ascii="Times New Roman" w:hAnsi="Times New Roman" w:cs="Times New Roman"/>
          <w:color w:val="000000" w:themeColor="text1"/>
          <w:sz w:val="24"/>
          <w:szCs w:val="24"/>
        </w:rPr>
        <w:fldChar w:fldCharType="separate"/>
      </w:r>
      <w:r w:rsidR="000E6908" w:rsidRPr="000E6908">
        <w:rPr>
          <w:rFonts w:ascii="Times New Roman" w:hAnsi="Times New Roman" w:cs="Times New Roman"/>
          <w:noProof/>
          <w:color w:val="000000" w:themeColor="text1"/>
          <w:sz w:val="24"/>
          <w:szCs w:val="24"/>
          <w:lang w:val="pt-PT"/>
        </w:rPr>
        <w:t>(14)</w:t>
      </w:r>
      <w:r w:rsidRPr="007F5F18">
        <w:rPr>
          <w:rFonts w:ascii="Times New Roman" w:hAnsi="Times New Roman" w:cs="Times New Roman"/>
          <w:color w:val="000000" w:themeColor="text1"/>
          <w:sz w:val="24"/>
          <w:szCs w:val="24"/>
        </w:rPr>
        <w:fldChar w:fldCharType="end"/>
      </w:r>
      <w:r w:rsidR="00717BEB" w:rsidRPr="008C2173">
        <w:rPr>
          <w:rFonts w:ascii="Times New Roman" w:hAnsi="Times New Roman" w:cs="Times New Roman"/>
          <w:color w:val="000000" w:themeColor="text1"/>
          <w:sz w:val="24"/>
          <w:szCs w:val="24"/>
          <w:lang w:val="pt-PT"/>
        </w:rPr>
        <w:t xml:space="preserve">               (equa</w:t>
      </w:r>
      <w:r w:rsidR="008C2173" w:rsidRPr="008C2173">
        <w:rPr>
          <w:rFonts w:ascii="Times New Roman" w:hAnsi="Times New Roman" w:cs="Times New Roman"/>
          <w:color w:val="000000" w:themeColor="text1"/>
          <w:sz w:val="24"/>
          <w:szCs w:val="24"/>
          <w:lang w:val="pt-PT"/>
        </w:rPr>
        <w:t>ção</w:t>
      </w:r>
      <w:r w:rsidR="00717BEB" w:rsidRPr="008C2173">
        <w:rPr>
          <w:rFonts w:ascii="Times New Roman" w:hAnsi="Times New Roman" w:cs="Times New Roman"/>
          <w:color w:val="000000" w:themeColor="text1"/>
          <w:sz w:val="24"/>
          <w:szCs w:val="24"/>
          <w:lang w:val="pt-PT"/>
        </w:rPr>
        <w:t xml:space="preserve"> 1)</w:t>
      </w:r>
    </w:p>
    <w:p w14:paraId="77745A89" w14:textId="560B8647" w:rsidR="002F1F50" w:rsidRPr="008C2173" w:rsidRDefault="008C2173" w:rsidP="00691500">
      <w:pPr>
        <w:spacing w:after="0" w:line="360" w:lineRule="auto"/>
        <w:ind w:left="1134" w:firstLine="709"/>
        <w:jc w:val="both"/>
        <w:rPr>
          <w:rFonts w:ascii="Times New Roman" w:hAnsi="Times New Roman" w:cs="Times New Roman"/>
          <w:sz w:val="24"/>
          <w:szCs w:val="24"/>
          <w:lang w:val="pt-PT"/>
        </w:rPr>
      </w:pPr>
      <w:r w:rsidRPr="008C2173">
        <w:rPr>
          <w:rFonts w:ascii="Times New Roman" w:hAnsi="Times New Roman" w:cs="Times New Roman"/>
          <w:sz w:val="24"/>
          <w:szCs w:val="24"/>
          <w:lang w:val="pt-PT"/>
        </w:rPr>
        <w:t>Quando</w:t>
      </w:r>
      <w:r w:rsidR="001A1DEB" w:rsidRPr="008C2173">
        <w:rPr>
          <w:rFonts w:ascii="Times New Roman" w:hAnsi="Times New Roman" w:cs="Times New Roman"/>
          <w:sz w:val="24"/>
          <w:szCs w:val="24"/>
          <w:lang w:val="pt-PT"/>
        </w:rPr>
        <w:t xml:space="preserve"> p&lt;n; It = </w:t>
      </w:r>
      <w:r w:rsidRPr="008C2173">
        <w:rPr>
          <w:rFonts w:ascii="Times New Roman" w:hAnsi="Times New Roman" w:cs="Times New Roman"/>
          <w:sz w:val="24"/>
          <w:szCs w:val="24"/>
          <w:lang w:val="pt-PT"/>
        </w:rPr>
        <w:t>Fluxo de Caixa do Investimento no período</w:t>
      </w:r>
      <w:r w:rsidR="001A1DEB" w:rsidRPr="008C2173">
        <w:rPr>
          <w:rFonts w:ascii="Times New Roman" w:hAnsi="Times New Roman" w:cs="Times New Roman"/>
          <w:sz w:val="24"/>
          <w:szCs w:val="24"/>
          <w:lang w:val="pt-PT"/>
        </w:rPr>
        <w:t xml:space="preserve"> t;</w:t>
      </w:r>
      <w:r w:rsidR="00145D52" w:rsidRPr="008C2173">
        <w:rPr>
          <w:rFonts w:ascii="Times New Roman" w:hAnsi="Times New Roman" w:cs="Times New Roman"/>
          <w:sz w:val="24"/>
          <w:szCs w:val="24"/>
          <w:lang w:val="pt-PT"/>
        </w:rPr>
        <w:t xml:space="preserve"> </w:t>
      </w:r>
      <w:r w:rsidR="001A1DEB" w:rsidRPr="008C2173">
        <w:rPr>
          <w:rFonts w:ascii="Times New Roman" w:hAnsi="Times New Roman" w:cs="Times New Roman"/>
          <w:sz w:val="24"/>
          <w:szCs w:val="24"/>
          <w:lang w:val="pt-PT"/>
        </w:rPr>
        <w:t xml:space="preserve">NRt= </w:t>
      </w:r>
      <w:r w:rsidRPr="008C2173">
        <w:rPr>
          <w:rFonts w:ascii="Times New Roman" w:hAnsi="Times New Roman" w:cs="Times New Roman"/>
          <w:sz w:val="24"/>
          <w:szCs w:val="24"/>
          <w:lang w:val="pt-PT"/>
        </w:rPr>
        <w:t>Receita Líquida no período</w:t>
      </w:r>
      <w:r w:rsidR="001A1DEB" w:rsidRPr="008C2173">
        <w:rPr>
          <w:rFonts w:ascii="Times New Roman" w:hAnsi="Times New Roman" w:cs="Times New Roman"/>
          <w:sz w:val="24"/>
          <w:szCs w:val="24"/>
          <w:lang w:val="pt-PT"/>
        </w:rPr>
        <w:t xml:space="preserve"> t; i=</w:t>
      </w:r>
      <w:r>
        <w:rPr>
          <w:rFonts w:ascii="Times New Roman" w:hAnsi="Times New Roman" w:cs="Times New Roman"/>
          <w:sz w:val="24"/>
          <w:szCs w:val="24"/>
          <w:lang w:val="pt-PT"/>
        </w:rPr>
        <w:t xml:space="preserve"> Taxa de desconto</w:t>
      </w:r>
      <w:r w:rsidR="001A1DEB" w:rsidRPr="008C2173">
        <w:rPr>
          <w:rFonts w:ascii="Times New Roman" w:hAnsi="Times New Roman" w:cs="Times New Roman"/>
          <w:sz w:val="24"/>
          <w:szCs w:val="24"/>
          <w:lang w:val="pt-PT"/>
        </w:rPr>
        <w:t>; n=</w:t>
      </w:r>
      <w:r>
        <w:rPr>
          <w:rFonts w:ascii="Times New Roman" w:hAnsi="Times New Roman" w:cs="Times New Roman"/>
          <w:sz w:val="24"/>
          <w:szCs w:val="24"/>
          <w:lang w:val="pt-PT"/>
        </w:rPr>
        <w:t xml:space="preserve"> número de anos</w:t>
      </w:r>
      <w:r w:rsidR="001A1DEB" w:rsidRPr="008C2173">
        <w:rPr>
          <w:rFonts w:ascii="Times New Roman" w:hAnsi="Times New Roman" w:cs="Times New Roman"/>
          <w:sz w:val="24"/>
          <w:szCs w:val="24"/>
          <w:lang w:val="pt-PT"/>
        </w:rPr>
        <w:t xml:space="preserve"> </w:t>
      </w:r>
      <w:r w:rsidR="001A1DE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{"citationItems":[{"id":"ITEM-1","itemData":{"DOI":"10.1016/j.renene.2014.01.038","ISSN":"09601481","abstract":"Several methods can be employed to evaluate investment in energy production. On one hand, traditional methods (Net Present Value (NPV) or Internal Rate of Return (IRR), for example) ignore certain project characteristics that may influence its evaluation, such as irreversibility, uncertainty and management flexibility. Nevertheless, the Real Option Approach (ROA) has an advantage over the application of traditional methods, since the prior uncertainties are taken into account. Thus, the main objective of this study is to apply ROA to a case-study (mini-hydro plant) through the use of the binomial tree developed by Cox, Ross and Rubinstein in 1979. This study concludes that the value of ROA is higher than the value of NPV because the investor can get better information and uncertainty is reduced when he has the option to defer the investment. In addition to providing a deep analysis on the major gaps in energy investment evaluation, this work contributes to a better understanding of the usefulness of ROA. © 2014 Elsevier Ltd.","author":[{"dropping-particle":"","family":"Santos","given":"Lúcia","non-dropping-particle":"","parse-names":false,"suffix":""},{"dropping-particle":"","family":"Soares","given":"Isabel","non-dropping-particle":"","parse-names":false,"suffix":""},{"dropping-particle":"","family":"Mendes","given":"Carla","non-dropping-particle":"","parse-names":false,"suffix":""},{"dropping-particle":"","family":"Ferreira","given":"Paula","non-dropping-particle":"","parse-names":false,"suffix":""}],"container-title":"Renewable Energy","id":"ITEM-1","issued":{"date-parts":[["2014"]]},"page":"588-594","publisher":"Elsevier Ltd","title":"Real Options versus Traditional Methods to assess Renewable Energy Projects","type":"article-journal","volume":"68"},"uris":["http://www.mendeley.com/documents/?uuid=f9da8d5d-d12d-4a65-82dd-22b66ec8e351"]}],"mendeley":{"formattedCitation":"(14)","plainTextFormattedCitation":"(14)","previouslyFormattedCitation":"(13)"},"properties":{"noteIndex":0},"schema":"https://github.com/citation-style-language/schema/raw/master/csl-citation.json"}</w:instrText>
      </w:r>
      <w:r w:rsidR="001A1DE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(14)</w:t>
      </w:r>
      <w:r w:rsidR="001A1DEB">
        <w:rPr>
          <w:rFonts w:ascii="Times New Roman" w:hAnsi="Times New Roman" w:cs="Times New Roman"/>
          <w:sz w:val="24"/>
          <w:szCs w:val="24"/>
        </w:rPr>
        <w:fldChar w:fldCharType="end"/>
      </w:r>
      <w:r w:rsidR="001A1DEB" w:rsidRPr="008C2173">
        <w:rPr>
          <w:rFonts w:ascii="Times New Roman" w:hAnsi="Times New Roman" w:cs="Times New Roman"/>
          <w:sz w:val="24"/>
          <w:szCs w:val="24"/>
          <w:lang w:val="pt-PT"/>
        </w:rPr>
        <w:t xml:space="preserve">. </w:t>
      </w:r>
    </w:p>
    <w:p w14:paraId="1D3BF0B1" w14:textId="7CD444EC" w:rsidR="001535E5" w:rsidRPr="008C2173" w:rsidRDefault="008C2173" w:rsidP="00691500">
      <w:pPr>
        <w:spacing w:after="0" w:line="360" w:lineRule="auto"/>
        <w:ind w:left="1134" w:firstLine="709"/>
        <w:jc w:val="both"/>
        <w:rPr>
          <w:rFonts w:ascii="Times New Roman" w:hAnsi="Times New Roman" w:cs="Times New Roman"/>
          <w:sz w:val="24"/>
          <w:szCs w:val="24"/>
          <w:lang w:val="pt-PT"/>
        </w:rPr>
      </w:pPr>
      <w:r w:rsidRPr="008C2173">
        <w:rPr>
          <w:rFonts w:ascii="Times New Roman" w:hAnsi="Times New Roman" w:cs="Times New Roman"/>
          <w:sz w:val="24"/>
          <w:szCs w:val="24"/>
          <w:lang w:val="pt-PT"/>
        </w:rPr>
        <w:t xml:space="preserve">Muitas vezes, os investidores querem saber quanto tempo levará para pagar seu investimento, ou seja, quanto tempo levará para que o valor presente dos fluxos de caixa previstos se iguale ao investimento inicial </w:t>
      </w:r>
      <w:r w:rsidR="00D97C73" w:rsidRPr="00BD05C1">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{"citationItems":[{"id":"ITEM-1","itemData":{"abstract":"A avaliação de projetos de investimento comu-mente envolve um conjunto de técnicas que buscam estabelecer parâmetros de sua viabilidade. Em con-dições de incerteza, uma alternativa para a obten-ção do retorno esperado e do risco de um projeto pode ser expresso através da utilização do Método de Monte Carlo (MMC). Este procedimento en-volve a utilização de números aleatórios nas simu-lações, o que pode facilitar acentuadamente os cálculos do risco, ainda mais quando suportados por uma planilha eletrônica (a exemplo do MS-Excel 5 ou superior) dotada de linguagem de pro-gramação (Visual Basic for Aplications) que per-mite a geração automática dos resultados. O obje-tivo deste artigo é apresentar a análise econômica de projetos com a utilização simplificada do MMC, incluindo a utilização de recursos da planilha eletrônica Excel.","author":[{"dropping-particle":"","family":"Bruni","given":"Adriano Leal","non-dropping-particle":"","parse-names":false,"suffix":""},{"dropping-particle":"","family":"Famá","given":"Rubens","non-dropping-particle":"","parse-names":false,"suffix":""},{"dropping-particle":"","family":"De","given":"José","non-dropping-particle":"","parse-names":false,"suffix":""},{"dropping-particle":"","family":"Siqueira","given":"Oliveira","non-dropping-particle":"","parse-names":false,"suffix":""}],"id":"ITEM-1","issued":{"date-parts":[["1998"]]},"title":"Análise Do Risco Na Avaliação De Projetos De Investimento: Uma Aplicação Do Método De Monte Carlo","type":"report"},"uris":["http://www.mendeley.com/documents/?uuid=1e2eb634-1399-4b12-b665-51f7ab5708be"]}],"mendeley":{"formattedCitation":"(18)","plainTextFormattedCitation":"(18)","previouslyFormattedCitation":"(17)"},"properties":{"noteIndex":0},"schema":"https://github.com/citation-style-language/schema/raw/master/csl-citation.json"}</w:instrText>
      </w:r>
      <w:r w:rsidR="00D97C73" w:rsidRPr="00BD05C1">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(18)</w:t>
      </w:r>
      <w:r w:rsidR="00D97C73" w:rsidRPr="00BD05C1">
        <w:rPr>
          <w:rFonts w:ascii="Times New Roman" w:hAnsi="Times New Roman" w:cs="Times New Roman"/>
          <w:sz w:val="24"/>
          <w:szCs w:val="24"/>
        </w:rPr>
        <w:fldChar w:fldCharType="end"/>
      </w:r>
    </w:p>
    <w:p w14:paraId="7C061864" w14:textId="08CEF9C5" w:rsidR="001535E5" w:rsidRPr="008C2173" w:rsidRDefault="008C2173" w:rsidP="00691500">
      <w:pPr>
        <w:spacing w:after="0" w:line="360" w:lineRule="auto"/>
        <w:ind w:left="1134" w:firstLine="709"/>
        <w:jc w:val="both"/>
        <w:rPr>
          <w:rFonts w:ascii="Times New Roman" w:hAnsi="Times New Roman" w:cs="Times New Roman"/>
          <w:sz w:val="24"/>
          <w:szCs w:val="24"/>
          <w:lang w:val="pt-PT"/>
        </w:rPr>
      </w:pPr>
      <w:r w:rsidRPr="008C2173">
        <w:rPr>
          <w:rFonts w:ascii="Times New Roman" w:hAnsi="Times New Roman" w:cs="Times New Roman"/>
          <w:sz w:val="24"/>
          <w:szCs w:val="24"/>
          <w:lang w:val="pt-PT"/>
        </w:rPr>
        <w:t xml:space="preserve">Analisando a regra geral do Payback Simples, se o período de payback for igual ou menor que o período máximo de recuperação aceitável, o projeto é aceito. Porém, se o prazo for maior, o projeto é rejeitado. No caso do payback simples, isso pode servir como parâmetro de liquidez, pois quanto menor o tempo de recuperação, maior a liquidez e menor o risco. Além disso, o payback simples não leva em consideração o valor do dinheiro no tempo ao comparar o fluxo futuro de poupança com o custo inicial do investimento. penalizando projetos cujos retornos são de longo prazo e, pior ainda, não considera os fluxos de caixa após atingido o período de payback </w:t>
      </w:r>
      <w:r w:rsidR="003A514C" w:rsidRPr="008C2173">
        <w:rPr>
          <w:rFonts w:ascii="Times New Roman" w:hAnsi="Times New Roman" w:cs="Times New Roman"/>
          <w:sz w:val="24"/>
          <w:szCs w:val="24"/>
          <w:lang w:val="pt-PT"/>
        </w:rPr>
        <w:t>(</w:t>
      </w:r>
      <w:r w:rsidR="003A514C" w:rsidRPr="008C2173" w:rsidDel="003A514C">
        <w:rPr>
          <w:rFonts w:ascii="Times New Roman" w:hAnsi="Times New Roman" w:cs="Times New Roman"/>
          <w:sz w:val="24"/>
          <w:szCs w:val="24"/>
          <w:lang w:val="pt-PT"/>
        </w:rPr>
        <w:t xml:space="preserve"> </w:t>
      </w:r>
      <w:r w:rsidR="00D97C73" w:rsidRPr="00BD05C1">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{"citationItems":[{"id":"ITEM-1","itemData":{"author":[{"dropping-particle":"","family":"Ross, Stephen A.;Westerfield, Randolph W.;Jordan","given":"Bradford D.","non-dropping-particle":"","parse-names":false,"suffix":""}],"edition":"2a Edition","id":"ITEM-1","issued":{"date-parts":[["2002"]]},"publisher":"Atlas","title":"Princípios de Administração Financeira","type":"book"},"uris":["http://www.mendeley.com/documents/?uuid=d906dcd7-5a0e-4838-9aea-6a7bd539a05a"]},{"id":"ITEM-2","itemData":{"abstract":"A avaliação de projetos de investimento comu-mente envolve um conjunto de técnicas que buscam estabelecer parâmetros de sua viabilidade. Em con-dições de incerteza, uma alternativa para a obten-ção do retorno esperado e do risco de um projeto pode ser expresso através da utilização do Método de Monte Carlo (MMC). Este procedimento en-volve a utilização de números aleatórios nas simu-lações, o que pode facilitar acentuadamente os cálculos do risco, ainda mais quando suportados por uma planilha eletrônica (a exemplo do MS-Excel 5 ou superior) dotada de linguagem de pro-gramação (Visual Basic for Aplications) que per-mite a geração automática dos resultados. O obje-tivo deste artigo é apresentar a análise econômica de projetos com a utilização simplificada do MMC, incluindo a utilização de recursos da planilha eletrônica Excel.","author":[{"dropping-particle":"","family":"Bruni","given":"Adriano Leal","non-dropping-particle":"","parse-names":false,"suffix":""},{"dropping-particle":"","family":"Famá","given":"Rubens","non-dropping-particle":"","parse-names":false,"suffix":""},{"dropping-particle":"","family":"De","given":"José","non-dropping-particle":"","parse-names":false,"suffix":""},{"dropping-particle":"","family":"Siqueira","given":"Oliveira","non-dropping-particle":"","parse-names":false,"suffix":""}],"id":"ITEM-2","issued":{"date-parts":[["1998"]]},"title":"Análise Do Risco Na Avaliação De Projetos De Investimento: Uma Aplicação Do Método De Monte Carlo","type":"report"},"uris":["http://www.mendeley.com/documents/?uuid=1e2eb634-1399-4b12-b665-51f7ab5708be"]}],"mendeley":{"formattedCitation":"(18,19)","plainTextFormattedCitation":"(18,19)","previouslyFormattedCitation":"(17,18)"},"properties":{"noteIndex":0},"schema":"https://github.com/citation-style-language/schema/raw/master/csl-citation.json"}</w:instrText>
      </w:r>
      <w:r w:rsidR="00D97C73" w:rsidRPr="00BD05C1">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(18,19)</w:t>
      </w:r>
      <w:r w:rsidR="00D97C73" w:rsidRPr="00BD05C1">
        <w:rPr>
          <w:rFonts w:ascii="Times New Roman" w:hAnsi="Times New Roman" w:cs="Times New Roman"/>
          <w:sz w:val="24"/>
          <w:szCs w:val="24"/>
        </w:rPr>
        <w:fldChar w:fldCharType="end"/>
      </w:r>
      <w:r w:rsidR="001535E5" w:rsidRPr="008C2173">
        <w:rPr>
          <w:rFonts w:ascii="Times New Roman" w:hAnsi="Times New Roman" w:cs="Times New Roman"/>
          <w:sz w:val="24"/>
          <w:szCs w:val="24"/>
          <w:lang w:val="pt-PT"/>
        </w:rPr>
        <w:t>.</w:t>
      </w:r>
    </w:p>
    <w:p w14:paraId="1395540D" w14:textId="5108559F" w:rsidR="008C2173" w:rsidRPr="008C2173" w:rsidRDefault="00514B24" w:rsidP="00691500">
      <w:pPr>
        <w:spacing w:after="0" w:line="360" w:lineRule="auto"/>
        <w:ind w:left="1134" w:firstLine="709"/>
        <w:jc w:val="both"/>
        <w:rPr>
          <w:rFonts w:ascii="Times New Roman" w:hAnsi="Times New Roman" w:cs="Times New Roman"/>
          <w:sz w:val="24"/>
          <w:szCs w:val="24"/>
          <w:lang w:val="pt-PT"/>
        </w:rPr>
      </w:pPr>
      <w:r w:rsidRPr="008C2173">
        <w:rPr>
          <w:rFonts w:ascii="Times New Roman" w:hAnsi="Times New Roman" w:cs="Times New Roman"/>
          <w:sz w:val="24"/>
          <w:szCs w:val="24"/>
          <w:lang w:val="pt-PT"/>
        </w:rPr>
        <w:t xml:space="preserve">Fuller &amp; Petterssen </w:t>
      </w:r>
      <w:r w:rsidRPr="00BD05C1">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{"citationItems":[{"id":"ITEM-1","itemData":{"ISBN":"1422345769","abstract":"Abstract: Handbook 135 is a guide to understanding the life - cycle cost (LCC) methodology and criteria established by the Federal Energy Management Program (FEMP) for the economic evaluation of energy and water conservation projects and renewable energy ... \\n","author":[{"dropping-particle":"","family":"Fuller","given":"Sieglinde K.","non-dropping-particle":"","parse-names":false,"suffix":""},{"dropping-particle":"","family":"Petersen","given":"Stephen R.","non-dropping-particle":"","parse-names":false,"suffix":""}],"container-title":"NIST Handbook 135","id":"ITEM-1","issue":"135","issued":{"date-parts":[["1996"]]},"number-of-pages":"1-222","title":"LCCosting Manual for the Federal Energy Management Program","type":"book"},"uris":["http://www.mendeley.com/documents/?uuid=efb9fa6e-80f1-4efd-90cc-2f9683ca9903"]}],"mendeley":{"formattedCitation":"(20)","plainTextFormattedCitation":"(20)","previouslyFormattedCitation":"(19)"},"properties":{"noteIndex":0},"schema":"https://github.com/citation-style-language/schema/raw/master/csl-citation.json"}</w:instrText>
      </w:r>
      <w:r w:rsidRPr="00BD05C1">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(20)</w:t>
      </w:r>
      <w:r w:rsidRPr="00BD05C1">
        <w:rPr>
          <w:rFonts w:ascii="Times New Roman" w:hAnsi="Times New Roman" w:cs="Times New Roman"/>
          <w:sz w:val="24"/>
          <w:szCs w:val="24"/>
        </w:rPr>
        <w:fldChar w:fldCharType="end"/>
      </w:r>
      <w:r w:rsidRPr="008C2173">
        <w:rPr>
          <w:rFonts w:ascii="Times New Roman" w:hAnsi="Times New Roman" w:cs="Times New Roman"/>
          <w:sz w:val="24"/>
          <w:szCs w:val="24"/>
          <w:lang w:val="pt-PT"/>
        </w:rPr>
        <w:t xml:space="preserve"> </w:t>
      </w:r>
      <w:r w:rsidR="008C2173" w:rsidRPr="008C2173">
        <w:rPr>
          <w:rFonts w:ascii="Times New Roman" w:hAnsi="Times New Roman" w:cs="Times New Roman"/>
          <w:sz w:val="24"/>
          <w:szCs w:val="24"/>
          <w:lang w:val="pt-PT"/>
        </w:rPr>
        <w:t>mencionaram desvantagens sobre o método de retorno que ignora todos os custos e economias que ocorrem após o momento em que o retorno é alcançado. Ele</w:t>
      </w:r>
      <w:r w:rsidR="008C2173">
        <w:rPr>
          <w:rFonts w:ascii="Times New Roman" w:hAnsi="Times New Roman" w:cs="Times New Roman"/>
          <w:sz w:val="24"/>
          <w:szCs w:val="24"/>
          <w:lang w:val="pt-PT"/>
        </w:rPr>
        <w:t>s</w:t>
      </w:r>
      <w:r w:rsidR="008C2173" w:rsidRPr="008C2173">
        <w:rPr>
          <w:rFonts w:ascii="Times New Roman" w:hAnsi="Times New Roman" w:cs="Times New Roman"/>
          <w:sz w:val="24"/>
          <w:szCs w:val="24"/>
          <w:lang w:val="pt-PT"/>
        </w:rPr>
        <w:t xml:space="preserve"> também não diferencia</w:t>
      </w:r>
      <w:r w:rsidR="008C2173">
        <w:rPr>
          <w:rFonts w:ascii="Times New Roman" w:hAnsi="Times New Roman" w:cs="Times New Roman"/>
          <w:sz w:val="24"/>
          <w:szCs w:val="24"/>
          <w:lang w:val="pt-PT"/>
        </w:rPr>
        <w:t>m</w:t>
      </w:r>
      <w:r w:rsidR="008C2173" w:rsidRPr="008C2173">
        <w:rPr>
          <w:rFonts w:ascii="Times New Roman" w:hAnsi="Times New Roman" w:cs="Times New Roman"/>
          <w:sz w:val="24"/>
          <w:szCs w:val="24"/>
          <w:lang w:val="pt-PT"/>
        </w:rPr>
        <w:t xml:space="preserve"> entre alternativas de projeto com diferentes ciclos de vida de projeto e normalmente usa um limite de retorno arbitrário.</w:t>
      </w:r>
    </w:p>
    <w:p w14:paraId="2716B01C" w14:textId="6441EC47" w:rsidR="00D97C73" w:rsidRPr="008C2173" w:rsidRDefault="008C2173" w:rsidP="00691500">
      <w:pPr>
        <w:spacing w:after="0" w:line="360" w:lineRule="auto"/>
        <w:ind w:left="1134" w:firstLine="709"/>
        <w:jc w:val="both"/>
        <w:rPr>
          <w:rFonts w:ascii="Times New Roman" w:hAnsi="Times New Roman" w:cs="Times New Roman"/>
          <w:sz w:val="24"/>
          <w:szCs w:val="24"/>
          <w:lang w:val="pt-PT"/>
        </w:rPr>
      </w:pPr>
      <w:r w:rsidRPr="008C2173">
        <w:rPr>
          <w:rFonts w:ascii="Times New Roman" w:hAnsi="Times New Roman" w:cs="Times New Roman"/>
          <w:sz w:val="24"/>
          <w:szCs w:val="24"/>
          <w:lang w:val="pt-PT"/>
        </w:rPr>
        <w:t xml:space="preserve">Em relação ao payback descontado (equação 2), é ainda mais interessante do que o payback simples, pois é o tempo necessário para a recuperação de um investimento baseado nas entradas líquidas de caixa descontadas pelo custo de capital da empresa ajustado ao risco do projeto </w:t>
      </w:r>
      <w:r w:rsidR="00D97C73" w:rsidRPr="00BD05C1">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{"citationItems":[{"id":"ITEM-1","itemData":{"abstract":"A avaliação de projetos de investimento comu-mente envolve um conjunto de técnicas que buscam estabelecer parâmetros de sua viabilidade. Em con-dições de incerteza, uma alternativa para a obten-ção do retorno esperado e do risco de um projeto pode ser expresso através da utilização do Método de Monte Carlo (MMC). Este procedimento en-volve a utilização de números aleatórios nas simu-lações, o que pode facilitar acentuadamente os cálculos do risco, ainda mais quando suportados por uma planilha eletrônica (a exemplo do MS-Excel 5 ou superior) dotada de linguagem de pro-gramação (Visual Basic for Aplications) que per-mite a geração automática dos resultados. O obje-tivo deste artigo é apresentar a análise econômica de projetos com a utilização simplificada do MMC, incluindo a utilização de recursos da planilha eletrônica Excel.","author":[{"dropping-particle":"","family":"Bruni","given":"Adriano Leal","non-dropping-particle":"","parse-names":false,"suffix":""},{"dropping-particle":"","family":"Famá","given":"Rubens","non-dropping-particle":"","parse-names":false,"suffix":""},{"dropping-particle":"","family":"De","given":"José","non-dropping-particle":"","parse-names":false,"suffix":""},{"dropping-particle":"","family":"Siqueira","given":"Oliveira","non-dropping-particle":"","parse-names":false,"suffix":""}],"id":"ITEM-1","issued":{"date-parts":[["1998"]]},"title":"Análise Do Risco Na Avaliação De Projetos De Investimento: Uma Aplicação Do Método De Monte Carlo","type":"report"},"uris":["http://www.mendeley.com/documents/?uuid=1e2eb634-1399-4b12-b665-51f7ab5708be"]}],"mendeley":{"formattedCitation":"(18)","plainTextFormattedCitation":"(18)","previouslyFormattedCitation":"(17)"},"properties":{"noteIndex":0},"schema":"https://github.com/citation-style-language/schema/raw/master/csl-citation.json"}</w:instrText>
      </w:r>
      <w:r w:rsidR="00D97C73" w:rsidRPr="00BD05C1">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(18)</w:t>
      </w:r>
      <w:r w:rsidR="00D97C73" w:rsidRPr="00BD05C1">
        <w:rPr>
          <w:rFonts w:ascii="Times New Roman" w:hAnsi="Times New Roman" w:cs="Times New Roman"/>
          <w:sz w:val="24"/>
          <w:szCs w:val="24"/>
        </w:rPr>
        <w:fldChar w:fldCharType="end"/>
      </w:r>
      <w:r w:rsidR="00163709" w:rsidRPr="008C2173">
        <w:rPr>
          <w:rFonts w:ascii="Times New Roman" w:hAnsi="Times New Roman" w:cs="Times New Roman"/>
          <w:sz w:val="24"/>
          <w:szCs w:val="24"/>
          <w:lang w:val="pt-PT"/>
        </w:rPr>
        <w:t>.</w:t>
      </w:r>
      <w:r w:rsidR="0023140B" w:rsidRPr="008C2173">
        <w:rPr>
          <w:rFonts w:ascii="Times New Roman" w:hAnsi="Times New Roman" w:cs="Times New Roman"/>
          <w:sz w:val="24"/>
          <w:szCs w:val="24"/>
          <w:lang w:val="pt-PT"/>
        </w:rPr>
        <w:t xml:space="preserve"> </w:t>
      </w:r>
    </w:p>
    <w:p w14:paraId="6C567103" w14:textId="36FAE505" w:rsidR="00D97C73" w:rsidRPr="008C2173" w:rsidRDefault="00235A0D" w:rsidP="00691500">
      <w:pPr>
        <w:spacing w:after="0" w:line="360" w:lineRule="auto"/>
        <w:ind w:left="1134"/>
        <w:jc w:val="both"/>
        <w:rPr>
          <w:rFonts w:ascii="Times New Roman" w:hAnsi="Times New Roman" w:cs="Times New Roman"/>
          <w:sz w:val="24"/>
          <w:szCs w:val="24"/>
          <w:lang w:val="pt-PT"/>
        </w:rPr>
      </w:pPr>
      <w:r w:rsidRPr="008C2173">
        <w:rPr>
          <w:rFonts w:ascii="Times New Roman" w:hAnsi="Times New Roman" w:cs="Times New Roman"/>
          <w:sz w:val="24"/>
          <w:szCs w:val="24"/>
          <w:lang w:val="pt-PT"/>
        </w:rPr>
        <w:lastRenderedPageBreak/>
        <w:t>Payback</w:t>
      </w:r>
      <w:r w:rsidR="008C2173" w:rsidRPr="008C2173">
        <w:rPr>
          <w:rFonts w:ascii="Times New Roman" w:hAnsi="Times New Roman" w:cs="Times New Roman"/>
          <w:sz w:val="24"/>
          <w:szCs w:val="24"/>
          <w:lang w:val="pt-PT"/>
        </w:rPr>
        <w:t xml:space="preserve"> Descontado</w:t>
      </w:r>
      <w:r w:rsidRPr="008C2173">
        <w:rPr>
          <w:rFonts w:ascii="Times New Roman" w:hAnsi="Times New Roman" w:cs="Times New Roman"/>
          <w:sz w:val="24"/>
          <w:szCs w:val="24"/>
          <w:lang w:val="pt-PT"/>
        </w:rPr>
        <w:t xml:space="preserve"> </w:t>
      </w:r>
      <w:r w:rsidR="00163709" w:rsidRPr="008C2173">
        <w:rPr>
          <w:rFonts w:ascii="Times New Roman" w:hAnsi="Times New Roman" w:cs="Times New Roman"/>
          <w:sz w:val="24"/>
          <w:szCs w:val="24"/>
          <w:lang w:val="pt-PT"/>
        </w:rPr>
        <w:t xml:space="preserve">=&gt; </w:t>
      </w:r>
      <w:r w:rsidR="00163709" w:rsidRPr="008C2173">
        <w:rPr>
          <w:rFonts w:ascii="Times New Roman" w:hAnsi="Times New Roman" w:cs="Times New Roman"/>
          <w:sz w:val="36"/>
          <w:szCs w:val="36"/>
          <w:lang w:val="pt-PT"/>
        </w:rPr>
        <w:t>I =</w:t>
      </w:r>
      <m:oMath>
        <m:nary>
          <m:naryPr>
            <m:chr m:val="∑"/>
            <m:limLoc m:val="undOvr"/>
            <m:ctrlPr>
              <w:rPr>
                <w:rFonts w:ascii="Cambria Math" w:hAnsi="Cambria Math" w:cs="Times New Roman"/>
                <w:i/>
                <w:sz w:val="36"/>
                <w:szCs w:val="36"/>
              </w:rPr>
            </m:ctrlPr>
          </m:naryPr>
          <m:sub>
            <m:r>
              <w:rPr>
                <w:rFonts w:ascii="Cambria Math" w:hAnsi="Cambria Math" w:cs="Times New Roman"/>
                <w:sz w:val="36"/>
                <w:szCs w:val="36"/>
              </w:rPr>
              <m:t>t</m:t>
            </m:r>
            <m:r>
              <w:rPr>
                <w:rFonts w:ascii="Cambria Math" w:hAnsi="Cambria Math" w:cs="Times New Roman"/>
                <w:sz w:val="36"/>
                <w:szCs w:val="36"/>
                <w:lang w:val="pt-PT"/>
              </w:rPr>
              <m:t>=1</m:t>
            </m:r>
          </m:sub>
          <m:sup>
            <m:r>
              <w:rPr>
                <w:rFonts w:ascii="Cambria Math" w:hAnsi="Cambria Math" w:cs="Times New Roman"/>
                <w:sz w:val="36"/>
                <w:szCs w:val="36"/>
              </w:rPr>
              <m:t>y</m:t>
            </m:r>
          </m:sup>
          <m:e>
            <m:f>
              <m:fPr>
                <m:ctrlPr>
                  <w:rPr>
                    <w:rFonts w:ascii="Cambria Math" w:hAnsi="Cambria Math" w:cs="Times New Roman"/>
                    <w:i/>
                    <w:sz w:val="36"/>
                    <w:szCs w:val="36"/>
                  </w:rPr>
                </m:ctrlPr>
              </m:fPr>
              <m:num>
                <m:sSub>
                  <m:sSubPr>
                    <m:ctrlPr>
                      <w:rPr>
                        <w:rFonts w:ascii="Cambria Math" w:hAnsi="Cambria Math" w:cs="Times New Roman"/>
                        <w:i/>
                        <w:sz w:val="36"/>
                        <w:szCs w:val="36"/>
                      </w:rPr>
                    </m:ctrlPr>
                  </m:sSubPr>
                  <m:e>
                    <m:r>
                      <w:rPr>
                        <w:rFonts w:ascii="Cambria Math" w:hAnsi="Cambria Math" w:cs="Times New Roman"/>
                        <w:sz w:val="36"/>
                        <w:szCs w:val="36"/>
                      </w:rPr>
                      <m:t>FC</m:t>
                    </m:r>
                  </m:e>
                  <m:sub>
                    <m:r>
                      <w:rPr>
                        <w:rFonts w:ascii="Cambria Math" w:hAnsi="Cambria Math" w:cs="Times New Roman"/>
                        <w:sz w:val="36"/>
                        <w:szCs w:val="36"/>
                      </w:rPr>
                      <m:t>t</m:t>
                    </m:r>
                  </m:sub>
                </m:sSub>
              </m:num>
              <m:den>
                <m:sSup>
                  <m:sSupPr>
                    <m:ctrlPr>
                      <w:rPr>
                        <w:rFonts w:ascii="Cambria Math" w:hAnsi="Cambria Math" w:cs="Times New Roman"/>
                        <w:i/>
                        <w:sz w:val="36"/>
                        <w:szCs w:val="36"/>
                      </w:rPr>
                    </m:ctrlPr>
                  </m:sSupPr>
                  <m:e>
                    <m:r>
                      <w:rPr>
                        <w:rFonts w:ascii="Cambria Math" w:hAnsi="Cambria Math" w:cs="Times New Roman"/>
                        <w:sz w:val="36"/>
                        <w:szCs w:val="36"/>
                        <w:lang w:val="pt-PT"/>
                      </w:rPr>
                      <m:t>(1+</m:t>
                    </m:r>
                    <m:r>
                      <w:rPr>
                        <w:rFonts w:ascii="Cambria Math" w:hAnsi="Cambria Math" w:cs="Times New Roman"/>
                        <w:sz w:val="36"/>
                        <w:szCs w:val="36"/>
                      </w:rPr>
                      <m:t>K</m:t>
                    </m:r>
                    <m:r>
                      <w:rPr>
                        <w:rFonts w:ascii="Cambria Math" w:hAnsi="Cambria Math" w:cs="Times New Roman"/>
                        <w:sz w:val="36"/>
                        <w:szCs w:val="36"/>
                        <w:lang w:val="pt-PT"/>
                      </w:rPr>
                      <m:t>)</m:t>
                    </m:r>
                  </m:e>
                  <m:sup>
                    <m:r>
                      <w:rPr>
                        <w:rFonts w:ascii="Cambria Math" w:hAnsi="Cambria Math" w:cs="Times New Roman"/>
                        <w:sz w:val="36"/>
                        <w:szCs w:val="36"/>
                      </w:rPr>
                      <m:t>t</m:t>
                    </m:r>
                  </m:sup>
                </m:sSup>
                <m:r>
                  <w:rPr>
                    <w:rFonts w:ascii="Cambria Math" w:hAnsi="Cambria Math" w:cs="Times New Roman"/>
                    <w:sz w:val="36"/>
                    <w:szCs w:val="36"/>
                    <w:lang w:val="pt-PT"/>
                  </w:rPr>
                  <m:t>)</m:t>
                </m:r>
              </m:den>
            </m:f>
          </m:e>
        </m:nary>
      </m:oMath>
      <w:r w:rsidR="00061BB9" w:rsidRPr="008C2173">
        <w:rPr>
          <w:rFonts w:ascii="Times New Roman" w:hAnsi="Times New Roman" w:cs="Times New Roman"/>
          <w:sz w:val="24"/>
          <w:szCs w:val="24"/>
          <w:lang w:val="pt-PT"/>
        </w:rPr>
        <w:t xml:space="preserve"> </w:t>
      </w:r>
      <w:r w:rsidR="00163709" w:rsidRPr="008C2173">
        <w:rPr>
          <w:rFonts w:ascii="Times New Roman" w:hAnsi="Times New Roman" w:cs="Times New Roman"/>
          <w:sz w:val="24"/>
          <w:szCs w:val="24"/>
          <w:lang w:val="pt-PT"/>
        </w:rPr>
        <w:t xml:space="preserve">  </w:t>
      </w:r>
      <w:r w:rsidRPr="00235A0D">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{"citationItems":[{"id":"ITEM-1","itemData":{"ISBN":"1422345769","abstract":"Abstract: Handbook 135 is a guide to understanding the life - cycle cost (LCC) methodology and criteria established by the Federal Energy Management Program (FEMP) for the economic evaluation of energy and water conservation projects and renewable energy ... \\n","author":[{"dropping-particle":"","family":"Fuller","given":"Sieglinde K.","non-dropping-particle":"","parse-names":false,"suffix":""},{"dropping-particle":"","family":"Petersen","given":"Stephen R.","non-dropping-particle":"","parse-names":false,"suffix":""}],"container-title":"NIST Handbook 135","id":"ITEM-1","issue":"135","issued":{"date-parts":[["1996"]]},"number-of-pages":"1-222","title":"LCCosting Manual for the Federal Energy Management Program","type":"book"},"uris":["http://www.mendeley.com/documents/?uuid=efb9fa6e-80f1-4efd-90cc-2f9683ca9903"]}],"mendeley":{"formattedCitation":"(20)","plainTextFormattedCitation":"(20)","previouslyFormattedCitation":"(19)"},"properties":{"noteIndex":0},"schema":"https://github.com/citation-style-language/schema/raw/master/csl-citation.json"}</w:instrText>
      </w:r>
      <w:r w:rsidRPr="00235A0D">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(20)</w:t>
      </w:r>
      <w:r w:rsidRPr="00235A0D">
        <w:rPr>
          <w:rFonts w:ascii="Times New Roman" w:hAnsi="Times New Roman" w:cs="Times New Roman"/>
          <w:sz w:val="24"/>
          <w:szCs w:val="24"/>
        </w:rPr>
        <w:fldChar w:fldCharType="end"/>
      </w:r>
      <w:r w:rsidR="00163709" w:rsidRPr="008C2173">
        <w:rPr>
          <w:rFonts w:ascii="Times New Roman" w:hAnsi="Times New Roman" w:cs="Times New Roman"/>
          <w:sz w:val="40"/>
          <w:szCs w:val="40"/>
          <w:lang w:val="pt-PT"/>
        </w:rPr>
        <w:t xml:space="preserve">             </w:t>
      </w:r>
      <w:r w:rsidR="00BD05C1" w:rsidRPr="008C2173">
        <w:rPr>
          <w:rFonts w:ascii="Times New Roman" w:hAnsi="Times New Roman" w:cs="Times New Roman"/>
          <w:sz w:val="24"/>
          <w:szCs w:val="24"/>
          <w:lang w:val="pt-PT"/>
        </w:rPr>
        <w:t>(</w:t>
      </w:r>
      <w:r w:rsidR="00061BB9" w:rsidRPr="008C2173">
        <w:rPr>
          <w:rFonts w:ascii="Times New Roman" w:hAnsi="Times New Roman" w:cs="Times New Roman"/>
          <w:sz w:val="24"/>
          <w:szCs w:val="24"/>
          <w:lang w:val="pt-PT"/>
        </w:rPr>
        <w:t>equa</w:t>
      </w:r>
      <w:r w:rsidR="008C2173" w:rsidRPr="008C2173">
        <w:rPr>
          <w:rFonts w:ascii="Times New Roman" w:hAnsi="Times New Roman" w:cs="Times New Roman"/>
          <w:sz w:val="24"/>
          <w:szCs w:val="24"/>
          <w:lang w:val="pt-PT"/>
        </w:rPr>
        <w:t>ç</w:t>
      </w:r>
      <w:r w:rsidR="008C2173">
        <w:rPr>
          <w:rFonts w:ascii="Times New Roman" w:hAnsi="Times New Roman" w:cs="Times New Roman"/>
          <w:sz w:val="24"/>
          <w:szCs w:val="24"/>
          <w:lang w:val="pt-PT"/>
        </w:rPr>
        <w:t>ão</w:t>
      </w:r>
      <w:r w:rsidR="00061BB9" w:rsidRPr="008C2173">
        <w:rPr>
          <w:rFonts w:ascii="Times New Roman" w:hAnsi="Times New Roman" w:cs="Times New Roman"/>
          <w:sz w:val="24"/>
          <w:szCs w:val="24"/>
          <w:lang w:val="pt-PT"/>
        </w:rPr>
        <w:t xml:space="preserve"> </w:t>
      </w:r>
      <w:r w:rsidR="00163709" w:rsidRPr="008C2173">
        <w:rPr>
          <w:rFonts w:ascii="Times New Roman" w:hAnsi="Times New Roman" w:cs="Times New Roman"/>
          <w:sz w:val="24"/>
          <w:szCs w:val="24"/>
          <w:lang w:val="pt-PT"/>
        </w:rPr>
        <w:t>2</w:t>
      </w:r>
      <w:r w:rsidR="00061BB9" w:rsidRPr="008C2173">
        <w:rPr>
          <w:rFonts w:ascii="Times New Roman" w:hAnsi="Times New Roman" w:cs="Times New Roman"/>
          <w:sz w:val="24"/>
          <w:szCs w:val="24"/>
          <w:lang w:val="pt-PT"/>
        </w:rPr>
        <w:t>)</w:t>
      </w:r>
    </w:p>
    <w:p w14:paraId="09CCA0ED" w14:textId="77777777" w:rsidR="008C2173" w:rsidRPr="008C2173" w:rsidRDefault="008C2173" w:rsidP="00691500">
      <w:pPr>
        <w:spacing w:after="0" w:line="360" w:lineRule="auto"/>
        <w:ind w:left="1134" w:firstLine="709"/>
        <w:jc w:val="both"/>
        <w:rPr>
          <w:rFonts w:ascii="Times New Roman" w:hAnsi="Times New Roman" w:cs="Times New Roman"/>
          <w:sz w:val="24"/>
          <w:szCs w:val="24"/>
          <w:lang w:val="pt-PT"/>
        </w:rPr>
      </w:pPr>
      <w:r w:rsidRPr="008C2173">
        <w:rPr>
          <w:rFonts w:ascii="Times New Roman" w:hAnsi="Times New Roman" w:cs="Times New Roman"/>
          <w:sz w:val="24"/>
          <w:szCs w:val="24"/>
          <w:lang w:val="pt-PT"/>
        </w:rPr>
        <w:t>Quando</w:t>
      </w:r>
      <w:r w:rsidR="000A0360" w:rsidRPr="008C2173">
        <w:rPr>
          <w:rFonts w:ascii="Times New Roman" w:hAnsi="Times New Roman" w:cs="Times New Roman"/>
          <w:sz w:val="24"/>
          <w:szCs w:val="24"/>
          <w:lang w:val="pt-PT"/>
        </w:rPr>
        <w:t xml:space="preserve"> y </w:t>
      </w:r>
      <w:r w:rsidRPr="008C2173">
        <w:rPr>
          <w:rFonts w:ascii="Times New Roman" w:hAnsi="Times New Roman" w:cs="Times New Roman"/>
          <w:sz w:val="24"/>
          <w:szCs w:val="24"/>
          <w:lang w:val="pt-PT"/>
        </w:rPr>
        <w:t>é o número de anos até que o investimento se pague, k é o custo de capital e t é o fluxo de caixa no período.</w:t>
      </w:r>
    </w:p>
    <w:p w14:paraId="7B7A448A" w14:textId="38D9A438" w:rsidR="00D97C73" w:rsidRPr="008C2173" w:rsidRDefault="008C2173" w:rsidP="00691500">
      <w:pPr>
        <w:spacing w:after="0" w:line="360" w:lineRule="auto"/>
        <w:ind w:left="1134" w:firstLine="709"/>
        <w:jc w:val="both"/>
        <w:rPr>
          <w:rFonts w:ascii="Times New Roman" w:hAnsi="Times New Roman" w:cs="Times New Roman"/>
          <w:sz w:val="24"/>
          <w:szCs w:val="24"/>
          <w:lang w:val="pt-PT"/>
        </w:rPr>
      </w:pPr>
      <w:r w:rsidRPr="008C2173">
        <w:rPr>
          <w:rFonts w:ascii="Times New Roman" w:hAnsi="Times New Roman" w:cs="Times New Roman"/>
          <w:sz w:val="24"/>
          <w:szCs w:val="24"/>
          <w:lang w:val="pt-PT"/>
        </w:rPr>
        <w:t xml:space="preserve">O Payback Descontado, nesse caso, leva vantagem sobre o payback simples, justamente por considerar o valor do dinheiro no tempo. E de acordo com a regra geral do payback descontado, se o payback for menor ou igual ao prazo máximo de recuperação do investimento inicial determinado pela empresa, o projeto deve ser aceito, caso contrário, será rejeitado. Apesar disso, ambos não consideram todos os fluxos de caixa do projeto </w:t>
      </w:r>
      <w:r w:rsidR="00D97C73" w:rsidRPr="00BD05C1">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{"citationItems":[{"id":"ITEM-1","itemData":{"abstract":"A avaliação de projetos de investimento comu-mente envolve um conjunto de técnicas que buscam estabelecer parâmetros de sua viabilidade. Em con-dições de incerteza, uma alternativa para a obten-ção do retorno esperado e do risco de um projeto pode ser expresso através da utilização do Método de Monte Carlo (MMC). Este procedimento en-volve a utilização de números aleatórios nas simu-lações, o que pode facilitar acentuadamente os cálculos do risco, ainda mais quando suportados por uma planilha eletrônica (a exemplo do MS-Excel 5 ou superior) dotada de linguagem de pro-gramação (Visual Basic for Aplications) que per-mite a geração automática dos resultados. O obje-tivo deste artigo é apresentar a análise econômica de projetos com a utilização simplificada do MMC, incluindo a utilização de recursos da planilha eletrônica Excel.","author":[{"dropping-particle":"","family":"Bruni","given":"Adriano Leal","non-dropping-particle":"","parse-names":false,"suffix":""},{"dropping-particle":"","family":"Famá","given":"Rubens","non-dropping-particle":"","parse-names":false,"suffix":""},{"dropping-particle":"","family":"De","given":"José","non-dropping-particle":"","parse-names":false,"suffix":""},{"dropping-particle":"","family":"Siqueira","given":"Oliveira","non-dropping-particle":"","parse-names":false,"suffix":""}],"id":"ITEM-1","issued":{"date-parts":[["1998"]]},"title":"Análise Do Risco Na Avaliação De Projetos De Investimento: Uma Aplicação Do Método De Monte Carlo","type":"report"},"uris":["http://www.mendeley.com/documents/?uuid=1e2eb634-1399-4b12-b665-51f7ab5708be"]}],"mendeley":{"formattedCitation":"(18)","plainTextFormattedCitation":"(18)","previouslyFormattedCitation":"(17)"},"properties":{"noteIndex":0},"schema":"https://github.com/citation-style-language/schema/raw/master/csl-citation.json"}</w:instrText>
      </w:r>
      <w:r w:rsidR="00D97C73" w:rsidRPr="00BD05C1">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(18)</w:t>
      </w:r>
      <w:r w:rsidR="00D97C73" w:rsidRPr="00BD05C1">
        <w:rPr>
          <w:rFonts w:ascii="Times New Roman" w:hAnsi="Times New Roman" w:cs="Times New Roman"/>
          <w:sz w:val="24"/>
          <w:szCs w:val="24"/>
        </w:rPr>
        <w:fldChar w:fldCharType="end"/>
      </w:r>
      <w:r w:rsidR="00D97C73" w:rsidRPr="008C2173">
        <w:rPr>
          <w:rFonts w:ascii="Times New Roman" w:hAnsi="Times New Roman" w:cs="Times New Roman"/>
          <w:sz w:val="24"/>
          <w:szCs w:val="24"/>
          <w:lang w:val="pt-PT"/>
        </w:rPr>
        <w:t>.</w:t>
      </w:r>
    </w:p>
    <w:p w14:paraId="601D1F94" w14:textId="77777777" w:rsidR="003E1C7F" w:rsidRPr="008C2173" w:rsidRDefault="003E1C7F" w:rsidP="00691500">
      <w:pPr>
        <w:spacing w:after="0" w:line="360" w:lineRule="auto"/>
        <w:ind w:left="1134" w:firstLine="709"/>
        <w:jc w:val="both"/>
        <w:rPr>
          <w:rFonts w:ascii="Times New Roman" w:hAnsi="Times New Roman" w:cs="Times New Roman"/>
          <w:sz w:val="24"/>
          <w:szCs w:val="24"/>
          <w:lang w:val="pt-PT"/>
        </w:rPr>
      </w:pPr>
    </w:p>
    <w:p w14:paraId="0C082CF3" w14:textId="5A5CB1AC" w:rsidR="009F3466" w:rsidRPr="00CF2902" w:rsidRDefault="008C2173" w:rsidP="00691500">
      <w:pPr>
        <w:pStyle w:val="Ttulo3"/>
        <w:numPr>
          <w:ilvl w:val="3"/>
          <w:numId w:val="6"/>
        </w:numPr>
        <w:spacing w:before="0" w:line="360" w:lineRule="auto"/>
        <w:ind w:left="1134" w:firstLine="709"/>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Valor Presente Líquido</w:t>
      </w:r>
      <w:r w:rsidR="009F3466" w:rsidRPr="00CF2902">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VPL</w:t>
      </w:r>
      <w:r w:rsidR="009F3466" w:rsidRPr="00CF2902">
        <w:rPr>
          <w:rFonts w:ascii="Times New Roman" w:hAnsi="Times New Roman" w:cs="Times New Roman"/>
          <w:color w:val="000000" w:themeColor="text1"/>
          <w:sz w:val="32"/>
          <w:szCs w:val="32"/>
        </w:rPr>
        <w:t>)</w:t>
      </w:r>
    </w:p>
    <w:p w14:paraId="7641ED6D" w14:textId="77777777" w:rsidR="009F3466" w:rsidRDefault="009F3466" w:rsidP="00691500">
      <w:pPr>
        <w:spacing w:after="0" w:line="360" w:lineRule="auto"/>
        <w:ind w:left="1134" w:firstLine="709"/>
        <w:jc w:val="both"/>
        <w:rPr>
          <w:rFonts w:ascii="Times New Roman" w:hAnsi="Times New Roman" w:cs="Times New Roman"/>
          <w:color w:val="000000" w:themeColor="text1"/>
          <w:sz w:val="24"/>
          <w:szCs w:val="24"/>
        </w:rPr>
      </w:pPr>
    </w:p>
    <w:p w14:paraId="19071B30" w14:textId="50123DE7" w:rsidR="00220649" w:rsidRPr="00D84C49" w:rsidRDefault="00D84C49" w:rsidP="00691500">
      <w:pPr>
        <w:spacing w:after="0" w:line="360" w:lineRule="auto"/>
        <w:ind w:left="1134" w:firstLine="709"/>
        <w:jc w:val="both"/>
        <w:rPr>
          <w:rFonts w:ascii="Times New Roman" w:hAnsi="Times New Roman" w:cs="Times New Roman"/>
          <w:sz w:val="24"/>
          <w:szCs w:val="24"/>
          <w:lang w:val="pt-PT"/>
        </w:rPr>
      </w:pPr>
      <w:r w:rsidRPr="00D84C49">
        <w:rPr>
          <w:rFonts w:ascii="Times New Roman" w:hAnsi="Times New Roman" w:cs="Times New Roman"/>
          <w:sz w:val="24"/>
          <w:szCs w:val="24"/>
          <w:lang w:val="pt-PT"/>
        </w:rPr>
        <w:t xml:space="preserve">Por definição, o VPL representa a diferença entre o valor presente das entradas líquidas de caixa descontadas ao custo de capital da empresa e o custo total, ou seja, o VPL é a soma do valor presente dos fluxos de caixa futuros. Assim, conforme determinado pelas regras de decisão do VPL, por exemplo, um potencial projeto de investimento independente deve ser aceito se o VPL for positivo e maior que zero </w:t>
      </w:r>
      <w:r w:rsidR="00B30A89" w:rsidRPr="00D84C49">
        <w:rPr>
          <w:rFonts w:ascii="Times New Roman" w:hAnsi="Times New Roman" w:cs="Times New Roman"/>
          <w:sz w:val="24"/>
          <w:szCs w:val="24"/>
          <w:lang w:val="pt-PT"/>
        </w:rPr>
        <w:t>(</w:t>
      </w:r>
      <w:r>
        <w:rPr>
          <w:rFonts w:ascii="Times New Roman" w:hAnsi="Times New Roman" w:cs="Times New Roman"/>
          <w:sz w:val="24"/>
          <w:szCs w:val="24"/>
          <w:lang w:val="pt-PT"/>
        </w:rPr>
        <w:t>VPL</w:t>
      </w:r>
      <w:r w:rsidR="00B30A89" w:rsidRPr="00D84C49">
        <w:rPr>
          <w:rFonts w:ascii="Times New Roman" w:hAnsi="Times New Roman" w:cs="Times New Roman"/>
          <w:sz w:val="24"/>
          <w:szCs w:val="24"/>
          <w:lang w:val="pt-PT"/>
        </w:rPr>
        <w:t xml:space="preserve">&gt;0) </w:t>
      </w:r>
      <w:r w:rsidR="003958D8" w:rsidRPr="00885501">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{"citationItems":[{"id":"ITEM-1","itemData":{"author":[{"dropping-particle":"","family":"Tsukamoto","given":"Y O H","non-dropping-particle":"","parse-names":false,"suffix":""},{"dropping-particle":"","family":"Sugimoto","given":"Junjiro","non-dropping-particle":"","parse-names":false,"suffix":""},{"dropping-particle":"","family":"Yokoyama","given":"Ryuichi","non-dropping-particle":"","parse-names":false,"suffix":""},{"dropping-particle":"","family":"Zhou","given":"Yicheng","non-dropping-particle":"","parse-names":false,"suffix":""}],"container-title":"Power","id":"ITEM-1","issue":"March","issued":{"date-parts":[["2006"]]},"number-of-pages":"332-337","title":"Economic Evaluation and Scenario Analysis of Wind Generations Based on Environment Factors","type":"report"},"uris":["http://www.mendeley.com/documents/?uuid=564c8be8-eca2-4cee-ac69-24f552f9d44d"]}],"mendeley":{"formattedCitation":"(21)","plainTextFormattedCitation":"(21)","previouslyFormattedCitation":"(20)"},"properties":{"noteIndex":0},"schema":"https://github.com/citation-style-language/schema/raw/master/csl-citation.json"}</w:instrText>
      </w:r>
      <w:r w:rsidR="003958D8" w:rsidRPr="00885501">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(21)</w:t>
      </w:r>
      <w:r w:rsidR="003958D8" w:rsidRPr="00885501">
        <w:rPr>
          <w:rFonts w:ascii="Times New Roman" w:hAnsi="Times New Roman" w:cs="Times New Roman"/>
          <w:sz w:val="24"/>
          <w:szCs w:val="24"/>
        </w:rPr>
        <w:fldChar w:fldCharType="end"/>
      </w:r>
      <w:r w:rsidR="003958D8" w:rsidRPr="00D84C49">
        <w:rPr>
          <w:rFonts w:ascii="Times New Roman" w:hAnsi="Times New Roman" w:cs="Times New Roman"/>
          <w:sz w:val="24"/>
          <w:szCs w:val="24"/>
          <w:lang w:val="pt-PT"/>
        </w:rPr>
        <w:t xml:space="preserve">, </w:t>
      </w:r>
      <w:r w:rsidRPr="00D84C49">
        <w:rPr>
          <w:rFonts w:ascii="Times New Roman" w:hAnsi="Times New Roman" w:cs="Times New Roman"/>
          <w:sz w:val="24"/>
          <w:szCs w:val="24"/>
          <w:lang w:val="pt-PT"/>
        </w:rPr>
        <w:t xml:space="preserve">caso contrário, deve ser rejeitado. Já para projetos mutuamente exclusivos, se o valor do VPL for maior que zero, será escolhido o projeto com maior VPL, caso contrário, se o valor do VPL for menor que zero, rejeita o projeto </w:t>
      </w:r>
      <w:r w:rsidR="003958D8" w:rsidRPr="00885501">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{"citationItems":[{"id":"ITEM-1","itemData":{"author":[{"dropping-particle":"","family":"Ross, Stephen A.;Westerfield, Randolph W.;Jordan","given":"Bradford D.","non-dropping-particle":"","parse-names":false,"suffix":""}],"edition":"2a Edition","id":"ITEM-1","issued":{"date-parts":[["2002"]]},"publisher":"Atlas","title":"Princípios de Administração Financeira","type":"book"},"uris":["http://www.mendeley.com/documents/?uuid=d906dcd7-5a0e-4838-9aea-6a7bd539a05a"]}],"mendeley":{"formattedCitation":"(19)","plainTextFormattedCitation":"(19)","previouslyFormattedCitation":"(18)"},"properties":{"noteIndex":0},"schema":"https://github.com/citation-style-language/schema/raw/master/csl-citation.json"}</w:instrText>
      </w:r>
      <w:r w:rsidR="003958D8" w:rsidRPr="00885501">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(19)</w:t>
      </w:r>
      <w:r w:rsidR="003958D8" w:rsidRPr="00885501">
        <w:rPr>
          <w:rFonts w:ascii="Times New Roman" w:hAnsi="Times New Roman" w:cs="Times New Roman"/>
          <w:sz w:val="24"/>
          <w:szCs w:val="24"/>
        </w:rPr>
        <w:fldChar w:fldCharType="end"/>
      </w:r>
      <w:r w:rsidR="00505E66" w:rsidRPr="00D84C49">
        <w:rPr>
          <w:rFonts w:ascii="Times New Roman" w:hAnsi="Times New Roman" w:cs="Times New Roman"/>
          <w:sz w:val="24"/>
          <w:szCs w:val="24"/>
          <w:lang w:val="pt-PT"/>
        </w:rPr>
        <w:t xml:space="preserve">. </w:t>
      </w:r>
      <w:r w:rsidRPr="00D84C49">
        <w:rPr>
          <w:rFonts w:ascii="Times New Roman" w:hAnsi="Times New Roman" w:cs="Times New Roman"/>
          <w:sz w:val="24"/>
          <w:szCs w:val="24"/>
          <w:lang w:val="pt-PT"/>
        </w:rPr>
        <w:t xml:space="preserve">No método </w:t>
      </w:r>
      <w:r>
        <w:rPr>
          <w:rFonts w:ascii="Times New Roman" w:hAnsi="Times New Roman" w:cs="Times New Roman"/>
          <w:sz w:val="24"/>
          <w:szCs w:val="24"/>
          <w:lang w:val="pt-PT"/>
        </w:rPr>
        <w:t>VPL</w:t>
      </w:r>
      <w:r w:rsidRPr="00D84C49">
        <w:rPr>
          <w:rFonts w:ascii="Times New Roman" w:hAnsi="Times New Roman" w:cs="Times New Roman"/>
          <w:sz w:val="24"/>
          <w:szCs w:val="24"/>
          <w:lang w:val="pt-PT"/>
        </w:rPr>
        <w:t xml:space="preserve">, o investimento é avaliado de acordo com o total de despesas e receitas geradas em um determinado período. Comparando várias variantes de projeto, o projeto mais favorável do ponto de vista econômico tem o menor gasto total no momento da análise </w:t>
      </w:r>
      <w:r w:rsidR="000B1C5E" w:rsidRPr="00D84C49">
        <w:rPr>
          <w:rFonts w:ascii="Times New Roman" w:hAnsi="Times New Roman" w:cs="Times New Roman"/>
          <w:sz w:val="24"/>
          <w:szCs w:val="24"/>
          <w:lang w:val="pt-PT"/>
        </w:rPr>
        <w:t xml:space="preserve">(18). </w:t>
      </w:r>
      <w:r w:rsidRPr="00D84C49">
        <w:rPr>
          <w:rFonts w:ascii="Times New Roman" w:hAnsi="Times New Roman" w:cs="Times New Roman"/>
          <w:sz w:val="24"/>
          <w:szCs w:val="24"/>
          <w:lang w:val="pt-PT"/>
        </w:rPr>
        <w:t>No setor de energia, um caso possível é que um investimento pontual seja compensado por receitas e despesas nos anos seguintes. Existem pontos que são muito favoráveis ao VPL, principalmente quando este considera o valor do dinheiro no tempo, pois leva todos os fluxos de caixa (positivos e negativos) para a mesma data para que possam ser somados. É simples como uma regra de decisão. Além disso, os diversos VPLs podem ser somados para formar o VPL da carteira. Se o avaliador tiver problemas com recursos limitados para realizar o investimento e com um grupo de projetos para aprovar, o VPL serve de base para classificar os projetos</w:t>
      </w:r>
      <w:r w:rsidR="00B30A89" w:rsidRPr="00D84C49">
        <w:rPr>
          <w:rFonts w:ascii="Times New Roman" w:hAnsi="Times New Roman" w:cs="Times New Roman"/>
          <w:sz w:val="24"/>
          <w:szCs w:val="24"/>
          <w:lang w:val="pt-PT"/>
        </w:rPr>
        <w:t xml:space="preserve"> </w:t>
      </w:r>
      <w:r w:rsidR="000B1C5E" w:rsidRPr="00D84C49">
        <w:rPr>
          <w:rFonts w:ascii="Times New Roman" w:hAnsi="Times New Roman" w:cs="Times New Roman"/>
          <w:sz w:val="24"/>
          <w:szCs w:val="24"/>
          <w:lang w:val="pt-PT"/>
        </w:rPr>
        <w:t xml:space="preserve">(20,22–24). </w:t>
      </w:r>
      <w:r w:rsidRPr="00D84C49">
        <w:rPr>
          <w:rFonts w:ascii="Times New Roman" w:hAnsi="Times New Roman" w:cs="Times New Roman"/>
          <w:sz w:val="24"/>
          <w:szCs w:val="24"/>
          <w:lang w:val="pt-PT"/>
        </w:rPr>
        <w:t xml:space="preserve">O </w:t>
      </w:r>
      <w:r>
        <w:rPr>
          <w:rFonts w:ascii="Times New Roman" w:hAnsi="Times New Roman" w:cs="Times New Roman"/>
          <w:sz w:val="24"/>
          <w:szCs w:val="24"/>
          <w:lang w:val="pt-PT"/>
        </w:rPr>
        <w:t>VPL</w:t>
      </w:r>
      <w:r w:rsidRPr="00D84C49">
        <w:rPr>
          <w:rFonts w:ascii="Times New Roman" w:hAnsi="Times New Roman" w:cs="Times New Roman"/>
          <w:sz w:val="24"/>
          <w:szCs w:val="24"/>
          <w:lang w:val="pt-PT"/>
        </w:rPr>
        <w:t xml:space="preserve"> </w:t>
      </w:r>
      <w:r w:rsidRPr="00D84C49">
        <w:rPr>
          <w:rFonts w:ascii="Times New Roman" w:hAnsi="Times New Roman" w:cs="Times New Roman"/>
          <w:sz w:val="24"/>
          <w:szCs w:val="24"/>
          <w:lang w:val="pt-PT"/>
        </w:rPr>
        <w:lastRenderedPageBreak/>
        <w:t xml:space="preserve">assume que os fluxos de caixa periódicos serão reinvestidos ao custo de capital ou outra taxa de desconto ajustada ao risco. Enquanto a TIR assume ela própria o reinvestimento </w:t>
      </w:r>
      <w:r w:rsidR="000009A3">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{"citationItems":[{"id":"ITEM-1","itemData":{"DOI":"10.1016/j.rser.2015.01.068","ISSN":"18790690","abstract":"This paper provides a comprehensive review of the current state of the art of the economics and socio-economics of ocean renewable energy (ORE); the many ways in which the viability and impacts of an ORE project are assessed, and an analysis of the current weaknesses, issues or inappropriateness of the metrics and methodologies used in their definition and presentation. The outcomes of this paper are anticipated to benefit the ORE and wider renewable sector as a whole. The review revealed that, for the most part, the current study of economics and socio-economics of ORE remain separate and discrete areas of research. The economic methods utilised appear to be comprehensive but are limited to project (or private investor) level. The methods identified for socioeconomic assessment fall between traditional, and now routine, environmental assessment approaches and more novel holistic approaches such as ecosystem services and life cycle assessment. The novel section of the paper explored the connectivity between the economics and socio-economics of ORE in relation to project developments and policy/planning. A visualisation method was created of concentric rings intersected by related axis of economic, socio-economic and environment, and enabled the examination of the benefits arising from the connectivity between the two spheres. The concept of sustainable development process and the integration of environmental assessment for ORE was also explored and how it responds to differing stakeholder aspirations and interpretations. The analysis revealed that there was a divergence between public and private economic and socioeconomic assessments for ORE: environmental assessment is primarily a public responsibility but with significant inputs from the private developer involved while economic assessments are conducted primarily by the developer and/or investor at their own behest. However, the two spheres of economic and socio-economic for ORE are highly connected and synergistic and must be examined in a holistic manner.","author":[{"dropping-particle":"","family":"Dalton","given":"Gordon","non-dropping-particle":"","parse-names":false,"suffix":""},{"dropping-particle":"","family":"Allan","given":"Grant","non-dropping-particle":"","parse-names":false,"suffix":""},{"dropping-particle":"","family":"Beaumont","given":"Nicola","non-dropping-particle":"","parse-names":false,"suffix":""},{"dropping-particle":"","family":"Georgakaki","given":"Aliki","non-dropping-particle":"","parse-names":false,"suffix":""},{"dropping-particle":"","family":"Hacking","given":"Nick","non-dropping-particle":"","parse-names":false,"suffix":""},{"dropping-particle":"","family":"Hooper","given":"Tara","non-dropping-particle":"","parse-names":false,"suffix":""},{"dropping-particle":"","family":"Kerr","given":"Sandy","non-dropping-particle":"","parse-names":false,"suffix":""},{"dropping-particle":"","family":"O'Hagan","given":"Anne Marie","non-dropping-particle":"","parse-names":false,"suffix":""},{"dropping-particle":"","family":"Reilly","given":"Kieran","non-dropping-particle":"","parse-names":false,"suffix":""},{"dropping-particle":"","family":"Ricci","given":"Pierpaolo","non-dropping-particle":"","parse-names":false,"suffix":""},{"dropping-particle":"","family":"Sheng","given":"Wanan","non-dropping-particle":"","parse-names":false,"suffix":""},{"dropping-particle":"","family":"Stallard","given":"Tim","non-dropping-particle":"","parse-names":false,"suffix":""}],"container-title":"Renewable and Sustainable Energy Reviews","id":"ITEM-1","issued":{"date-parts":[["2015"]]},"page":"850-878","publisher":"Elsevier","title":"Economic and socio-economic assessment methods for ocean renewable energy: Public and private perspectives","type":"article-journal","volume":"45"},"uris":["http://www.mendeley.com/documents/?uuid=39a89efa-652d-4e83-bccb-51f611f5144e"]}],"mendeley":{"formattedCitation":"(15)","plainTextFormattedCitation":"(15)","previouslyFormattedCitation":"(14)"},"properties":{"noteIndex":0},"schema":"https://github.com/citation-style-language/schema/raw/master/csl-citation.json"}</w:instrText>
      </w:r>
      <w:r w:rsidR="000009A3">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(15)</w:t>
      </w:r>
      <w:r w:rsidR="000009A3">
        <w:rPr>
          <w:rFonts w:ascii="Times New Roman" w:hAnsi="Times New Roman" w:cs="Times New Roman"/>
          <w:sz w:val="24"/>
          <w:szCs w:val="24"/>
        </w:rPr>
        <w:fldChar w:fldCharType="end"/>
      </w:r>
      <w:r w:rsidR="00153CA4" w:rsidRPr="00D84C49">
        <w:rPr>
          <w:rFonts w:ascii="Times New Roman" w:hAnsi="Times New Roman" w:cs="Times New Roman"/>
          <w:sz w:val="24"/>
          <w:szCs w:val="24"/>
          <w:lang w:val="pt-PT"/>
        </w:rPr>
        <w:t xml:space="preserve">. </w:t>
      </w:r>
      <w:r w:rsidRPr="00D84C49">
        <w:rPr>
          <w:rFonts w:ascii="Times New Roman" w:hAnsi="Times New Roman" w:cs="Times New Roman"/>
          <w:sz w:val="24"/>
          <w:szCs w:val="24"/>
          <w:lang w:val="pt-PT"/>
        </w:rPr>
        <w:t xml:space="preserve">É uma das metodologias mais utilizadas em finanças </w:t>
      </w:r>
      <w:r w:rsidR="000B1C5E" w:rsidRPr="00D84C49">
        <w:rPr>
          <w:rFonts w:ascii="Times New Roman" w:hAnsi="Times New Roman" w:cs="Times New Roman"/>
          <w:sz w:val="24"/>
          <w:szCs w:val="24"/>
          <w:lang w:val="pt-PT"/>
        </w:rPr>
        <w:t xml:space="preserve">(16). </w:t>
      </w:r>
      <w:r w:rsidRPr="00D84C49">
        <w:rPr>
          <w:rFonts w:ascii="Times New Roman" w:hAnsi="Times New Roman" w:cs="Times New Roman"/>
          <w:sz w:val="24"/>
          <w:szCs w:val="24"/>
          <w:lang w:val="pt-PT"/>
        </w:rPr>
        <w:t xml:space="preserve">A análise do fluxo de caixa é importante para avaliar o equilíbrio monetário ao longo da vida de um investimento. Porque representa as despesas e receitas anuais agregadas para cada ano ao longo da vida </w:t>
      </w:r>
      <w:r w:rsidR="00072343" w:rsidRPr="00885501">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{"citationItems":[{"id":"ITEM-1","itemData":{"DOI":"10.3934/gf.2021006","ISSN":"2643-1092","abstract":"The development of suitable financing models plays an important role for long-term investments in green energy infrastructures necessary to achieve energy and climate targets. In this context, it is important to state that people do not demand energy per se, but energy services such as mobility, heating, cooking and lighting. These services are provided by a combination of different energy carriers and technologies. In this paper, the focus lies on the optimal financing of innovative technologies from the society's point-of-view. Therefore, long-term financing models of new energy solutions play a key role in three core areas: (i) investments in renewable energy technologies, e.g., large solar thermal, PV, wind power systems, (ii) investments in new network infrastructure for electricity, district heating, hydrogen, charging stations for battery electric vehicles, etc.; (iii) investments in energy efficiency. In this paper we observe that there is practically no degree of freedom in the market regarding choice of financing parameters such as interest rate and depreciation time. In real life, all long-term investments, e.g., in the area of electricity or district heating networks, are located in a strictly regulated environment.","author":[{"dropping-particle":"","family":"Haas","given":"Reinhard","non-dropping-particle":"","parse-names":false,"suffix":""},{"dropping-particle":"","family":"Ajanovic","given":"Amela","non-dropping-particle":"","parse-names":false,"suffix":""},{"dropping-particle":"","family":"Ramsebner","given":"Jasmine","non-dropping-particle":"","parse-names":false,"suffix":""},{"dropping-particle":"","family":"Perger","given":"Theresia","non-dropping-particle":"","parse-names":false,"suffix":""},{"dropping-particle":"","family":"Knápek","given":"Jaroslav","non-dropping-particle":"","parse-names":false,"suffix":""},{"dropping-particle":"","family":"Bleyl","given":"Jan W.","non-dropping-particle":"","parse-names":false,"suffix":""}],"container-title":"Green Finance","id":"ITEM-1","issue":"1","issued":{"date-parts":[["2021"]]},"number-of-pages":"90-118","title":"Financing the future infrastructure of sustainable energy systems","type":"report","volume":"3"},"uris":["http://www.mendeley.com/documents/?uuid=693c1b19-748d-49b8-88ee-a30f5f2f5ae9"]},{"id":"ITEM-2","itemData":{"DOI":"10.1016/j.rser.2015.01.068","ISSN":"18790690","abstract":"This paper provides a comprehensive review of the current state of the art of the economics and socio-economics of ocean renewable energy (ORE); the many ways in which the viability and impacts of an ORE project are assessed, and an analysis of the current weaknesses, issues or inappropriateness of the metrics and methodologies used in their definition and presentation. The outcomes of this paper are anticipated to benefit the ORE and wider renewable sector as a whole. The review revealed that, for the most part, the current study of economics and socio-economics of ORE remain separate and discrete areas of research. The economic methods utilised appear to be comprehensive but are limited to project (or private investor) level. The methods identified for socioeconomic assessment fall between traditional, and now routine, environmental assessment approaches and more novel holistic approaches such as ecosystem services and life cycle assessment. The novel section of the paper explored the connectivity between the economics and socio-economics of ORE in relation to project developments and policy/planning. A visualisation method was created of concentric rings intersected by related axis of economic, socio-economic and environment, and enabled the examination of the benefits arising from the connectivity between the two spheres. The concept of sustainable development process and the integration of environmental assessment for ORE was also explored and how it responds to differing stakeholder aspirations and interpretations. The analysis revealed that there was a divergence between public and private economic and socioeconomic assessments for ORE: environmental assessment is primarily a public responsibility but with significant inputs from the private developer involved while economic assessments are conducted primarily by the developer and/or investor at their own behest. However, the two spheres of economic and socio-economic for ORE are highly connected and synergistic and must be examined in a holistic manner.","author":[{"dropping-particle":"","family":"Dalton","given":"Gordon","non-dropping-particle":"","parse-names":false,"suffix":""},{"dropping-particle":"","family":"Allan","given":"Grant","non-dropping-particle":"","parse-names":false,"suffix":""},{"dropping-particle":"","family":"Beaumont","given":"Nicola","non-dropping-particle":"","parse-names":false,"suffix":""},{"dropping-particle":"","family":"Georgakaki","given":"Aliki","non-dropping-particle":"","parse-names":false,"suffix":""},{"dropping-particle":"","family":"Hacking","given":"Nick","non-dropping-particle":"","parse-names":false,"suffix":""},{"dropping-particle":"","family":"Hooper","given":"Tara","non-dropping-particle":"","parse-names":false,"suffix":""},{"dropping-particle":"","family":"Kerr","given":"Sandy","non-dropping-particle":"","parse-names":false,"suffix":""},{"dropping-particle":"","family":"O'Hagan","given":"Anne Marie","non-dropping-particle":"","parse-names":false,"suffix":""},{"dropping-particle":"","family":"Reilly","given":"Kieran","non-dropping-particle":"","parse-names":false,"suffix":""},{"dropping-particle":"","family":"Ricci","given":"Pierpaolo","non-dropping-particle":"","parse-names":false,"suffix":""},{"dropping-particle":"","family":"Sheng","given":"Wanan","non-dropping-particle":"","parse-names":false,"suffix":""},{"dropping-particle":"","family":"Stallard","given":"Tim","non-dropping-particle":"","parse-names":false,"suffix":""}],"container-title":"Renewable and Sustainable Energy Reviews","id":"ITEM-2","issued":{"date-parts":[["2015"]]},"page":"850-878","publisher":"Elsevier","title":"Economic and socio-economic assessment methods for ocean renewable energy: Public and private perspectives","type":"article-journal","volume":"45"},"uris":["http://www.mendeley.com/documents/?uuid=39a89efa-652d-4e83-bccb-51f611f5144e"]}],"mendeley":{"formattedCitation":"(15,22)","plainTextFormattedCitation":"(15,22)","previouslyFormattedCitation":"(14,21)"},"properties":{"noteIndex":0},"schema":"https://github.com/citation-style-language/schema/raw/master/csl-citation.json"}</w:instrText>
      </w:r>
      <w:r w:rsidR="00072343" w:rsidRPr="00885501">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(15,22)</w:t>
      </w:r>
      <w:r w:rsidR="00072343" w:rsidRPr="00885501">
        <w:rPr>
          <w:rFonts w:ascii="Times New Roman" w:hAnsi="Times New Roman" w:cs="Times New Roman"/>
          <w:sz w:val="24"/>
          <w:szCs w:val="24"/>
        </w:rPr>
        <w:fldChar w:fldCharType="end"/>
      </w:r>
      <w:r w:rsidR="000B1C5E" w:rsidRPr="00D84C49">
        <w:rPr>
          <w:rFonts w:ascii="Times New Roman" w:hAnsi="Times New Roman" w:cs="Times New Roman"/>
          <w:sz w:val="24"/>
          <w:szCs w:val="24"/>
          <w:lang w:val="pt-PT"/>
        </w:rPr>
        <w:t xml:space="preserve">. </w:t>
      </w:r>
      <w:r w:rsidRPr="00D84C49">
        <w:rPr>
          <w:rFonts w:ascii="Times New Roman" w:hAnsi="Times New Roman" w:cs="Times New Roman"/>
          <w:sz w:val="24"/>
          <w:szCs w:val="24"/>
          <w:lang w:val="pt-PT"/>
        </w:rPr>
        <w:t>O cálculo do VPL mostra a lucratividade do projeto aplicando a equação</w:t>
      </w:r>
      <w:r w:rsidR="000B1C5E" w:rsidRPr="00D84C49" w:rsidDel="000B1C5E">
        <w:rPr>
          <w:rFonts w:ascii="Times New Roman" w:hAnsi="Times New Roman" w:cs="Times New Roman"/>
          <w:sz w:val="24"/>
          <w:szCs w:val="24"/>
          <w:lang w:val="pt-PT"/>
        </w:rPr>
        <w:t xml:space="preserve"> </w:t>
      </w:r>
      <w:r w:rsidR="00CF5116" w:rsidRPr="00D84C49">
        <w:rPr>
          <w:rFonts w:ascii="Times New Roman" w:hAnsi="Times New Roman" w:cs="Times New Roman"/>
          <w:sz w:val="24"/>
          <w:szCs w:val="24"/>
          <w:lang w:val="pt-PT"/>
        </w:rPr>
        <w:t>(</w:t>
      </w:r>
      <w:r w:rsidR="00757169" w:rsidRPr="00D84C49">
        <w:rPr>
          <w:rFonts w:ascii="Times New Roman" w:hAnsi="Times New Roman" w:cs="Times New Roman"/>
          <w:sz w:val="24"/>
          <w:szCs w:val="24"/>
          <w:lang w:val="pt-PT"/>
        </w:rPr>
        <w:t>3</w:t>
      </w:r>
      <w:r w:rsidR="00CF5116" w:rsidRPr="00D84C49">
        <w:rPr>
          <w:rFonts w:ascii="Times New Roman" w:hAnsi="Times New Roman" w:cs="Times New Roman"/>
          <w:sz w:val="24"/>
          <w:szCs w:val="24"/>
          <w:lang w:val="pt-PT"/>
        </w:rPr>
        <w:t>)</w:t>
      </w:r>
      <w:r w:rsidR="00505E66" w:rsidRPr="00D84C49">
        <w:rPr>
          <w:rFonts w:ascii="Times New Roman" w:hAnsi="Times New Roman" w:cs="Times New Roman"/>
          <w:sz w:val="24"/>
          <w:szCs w:val="24"/>
          <w:lang w:val="pt-PT"/>
        </w:rPr>
        <w:t>:</w:t>
      </w:r>
    </w:p>
    <w:p w14:paraId="6A88B399" w14:textId="0702A898" w:rsidR="00AA783A" w:rsidRPr="00D84C49" w:rsidRDefault="00CF5116" w:rsidP="00691500">
      <w:pPr>
        <w:spacing w:after="0" w:line="360" w:lineRule="auto"/>
        <w:ind w:left="1134"/>
        <w:jc w:val="both"/>
        <w:rPr>
          <w:rFonts w:ascii="Times New Roman" w:hAnsi="Times New Roman" w:cs="Times New Roman"/>
          <w:color w:val="000000" w:themeColor="text1"/>
          <w:sz w:val="24"/>
          <w:szCs w:val="24"/>
          <w:lang w:val="pt-PT"/>
        </w:rPr>
      </w:pPr>
      <w:bookmarkStart w:id="2" w:name="_Hlk121337646"/>
      <w:r w:rsidRPr="00D84C49">
        <w:rPr>
          <w:rFonts w:ascii="Times New Roman" w:hAnsi="Times New Roman" w:cs="Times New Roman"/>
          <w:sz w:val="32"/>
          <w:szCs w:val="32"/>
          <w:lang w:val="pt-PT"/>
        </w:rPr>
        <w:t xml:space="preserve">NPV = </w:t>
      </w:r>
      <w:r w:rsidR="00163709" w:rsidRPr="00D84C49">
        <w:rPr>
          <w:rFonts w:ascii="Times New Roman" w:hAnsi="Times New Roman" w:cs="Times New Roman"/>
          <w:sz w:val="32"/>
          <w:szCs w:val="32"/>
          <w:lang w:val="pt-PT"/>
        </w:rPr>
        <w:t>-I+</w:t>
      </w:r>
      <m:oMath>
        <m:nary>
          <m:naryPr>
            <m:chr m:val="∑"/>
            <m:limLoc m:val="undOvr"/>
            <m:ctrlPr>
              <w:rPr>
                <w:rFonts w:ascii="Cambria Math" w:hAnsi="Cambria Math" w:cs="Times New Roman"/>
                <w:i/>
                <w:sz w:val="32"/>
                <w:szCs w:val="32"/>
              </w:rPr>
            </m:ctrlPr>
          </m:naryPr>
          <m:sub>
            <m:r>
              <w:rPr>
                <w:rFonts w:ascii="Cambria Math" w:hAnsi="Cambria Math" w:cs="Times New Roman"/>
                <w:sz w:val="32"/>
                <w:szCs w:val="32"/>
              </w:rPr>
              <m:t>t</m:t>
            </m:r>
            <m:r>
              <w:rPr>
                <w:rFonts w:ascii="Cambria Math" w:hAnsi="Cambria Math" w:cs="Times New Roman"/>
                <w:sz w:val="32"/>
                <w:szCs w:val="32"/>
                <w:lang w:val="pt-PT"/>
              </w:rPr>
              <m:t>=1</m:t>
            </m:r>
          </m:sub>
          <m:sup>
            <m:r>
              <w:rPr>
                <w:rFonts w:ascii="Cambria Math" w:hAnsi="Cambria Math" w:cs="Times New Roman"/>
                <w:sz w:val="32"/>
                <w:szCs w:val="32"/>
              </w:rPr>
              <m:t>n</m:t>
            </m:r>
          </m:sup>
          <m:e>
            <m:f>
              <m:fPr>
                <m:ctrlPr>
                  <w:rPr>
                    <w:rFonts w:ascii="Cambria Math" w:hAnsi="Cambria Math" w:cs="Times New Roman"/>
                    <w:i/>
                    <w:sz w:val="32"/>
                    <w:szCs w:val="32"/>
                  </w:rPr>
                </m:ctrlPr>
              </m:fPr>
              <m:num>
                <m:sSub>
                  <m:sSubPr>
                    <m:ctrlPr>
                      <w:rPr>
                        <w:rFonts w:ascii="Cambria Math" w:hAnsi="Cambria Math" w:cs="Times New Roman"/>
                        <w:i/>
                        <w:sz w:val="32"/>
                        <w:szCs w:val="32"/>
                      </w:rPr>
                    </m:ctrlPr>
                  </m:sSubPr>
                  <m:e>
                    <m:r>
                      <w:rPr>
                        <w:rFonts w:ascii="Cambria Math" w:hAnsi="Cambria Math" w:cs="Times New Roman"/>
                        <w:sz w:val="32"/>
                        <w:szCs w:val="32"/>
                      </w:rPr>
                      <m:t>FC</m:t>
                    </m:r>
                  </m:e>
                  <m:sub>
                    <m:r>
                      <w:rPr>
                        <w:rFonts w:ascii="Cambria Math" w:hAnsi="Cambria Math" w:cs="Times New Roman"/>
                        <w:sz w:val="32"/>
                        <w:szCs w:val="32"/>
                      </w:rPr>
                      <m:t>t</m:t>
                    </m:r>
                  </m:sub>
                </m:sSub>
              </m:num>
              <m:den>
                <m:sSup>
                  <m:sSupPr>
                    <m:ctrlPr>
                      <w:rPr>
                        <w:rFonts w:ascii="Cambria Math" w:hAnsi="Cambria Math" w:cs="Times New Roman"/>
                        <w:i/>
                        <w:sz w:val="32"/>
                        <w:szCs w:val="32"/>
                      </w:rPr>
                    </m:ctrlPr>
                  </m:sSupPr>
                  <m:e>
                    <m:r>
                      <w:rPr>
                        <w:rFonts w:ascii="Cambria Math" w:hAnsi="Cambria Math" w:cs="Times New Roman"/>
                        <w:sz w:val="32"/>
                        <w:szCs w:val="32"/>
                        <w:lang w:val="pt-PT"/>
                      </w:rPr>
                      <m:t>(1+</m:t>
                    </m:r>
                    <m:r>
                      <w:rPr>
                        <w:rFonts w:ascii="Cambria Math" w:hAnsi="Cambria Math" w:cs="Times New Roman"/>
                        <w:sz w:val="32"/>
                        <w:szCs w:val="32"/>
                      </w:rPr>
                      <m:t>r</m:t>
                    </m:r>
                    <m:r>
                      <w:rPr>
                        <w:rFonts w:ascii="Cambria Math" w:hAnsi="Cambria Math" w:cs="Times New Roman"/>
                        <w:sz w:val="32"/>
                        <w:szCs w:val="32"/>
                        <w:lang w:val="pt-PT"/>
                      </w:rPr>
                      <m:t>)</m:t>
                    </m:r>
                  </m:e>
                  <m:sup>
                    <m:r>
                      <w:rPr>
                        <w:rFonts w:ascii="Cambria Math" w:hAnsi="Cambria Math" w:cs="Times New Roman"/>
                        <w:sz w:val="32"/>
                        <w:szCs w:val="32"/>
                      </w:rPr>
                      <m:t>t</m:t>
                    </m:r>
                  </m:sup>
                </m:sSup>
                <m:r>
                  <w:rPr>
                    <w:rFonts w:ascii="Cambria Math" w:hAnsi="Cambria Math" w:cs="Times New Roman"/>
                    <w:sz w:val="32"/>
                    <w:szCs w:val="32"/>
                    <w:lang w:val="pt-PT"/>
                  </w:rPr>
                  <m:t>)</m:t>
                </m:r>
              </m:den>
            </m:f>
          </m:e>
        </m:nary>
      </m:oMath>
      <w:r w:rsidR="00163709" w:rsidRPr="00D84C49">
        <w:rPr>
          <w:rFonts w:ascii="Times New Roman" w:hAnsi="Times New Roman" w:cs="Times New Roman"/>
          <w:sz w:val="24"/>
          <w:szCs w:val="24"/>
          <w:lang w:val="pt-PT"/>
        </w:rPr>
        <w:t xml:space="preserve"> </w:t>
      </w:r>
      <w:bookmarkEnd w:id="2"/>
      <w:r w:rsidR="00B627FC" w:rsidRPr="00D84C49">
        <w:rPr>
          <w:rFonts w:ascii="Times New Roman" w:hAnsi="Times New Roman" w:cs="Times New Roman"/>
          <w:sz w:val="24"/>
          <w:szCs w:val="24"/>
          <w:lang w:val="pt-PT"/>
        </w:rPr>
        <w:t xml:space="preserve">   </w:t>
      </w:r>
      <w:r w:rsidR="00AA783A" w:rsidRPr="00D84C49">
        <w:rPr>
          <w:rFonts w:ascii="Times New Roman" w:hAnsi="Times New Roman" w:cs="Times New Roman"/>
          <w:sz w:val="24"/>
          <w:szCs w:val="24"/>
          <w:lang w:val="pt-PT"/>
        </w:rPr>
        <w:t>(1)</w:t>
      </w:r>
      <w:r w:rsidR="00840CE4" w:rsidRPr="00D84C49">
        <w:rPr>
          <w:rFonts w:ascii="Times New Roman" w:hAnsi="Times New Roman" w:cs="Times New Roman"/>
          <w:sz w:val="24"/>
          <w:szCs w:val="24"/>
          <w:lang w:val="pt-PT"/>
        </w:rPr>
        <w:t xml:space="preserve"> </w:t>
      </w:r>
      <w:r w:rsidR="002227A2" w:rsidRPr="00885501">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{"citationItems":[{"id":"ITEM-1","itemData":{"author":[{"dropping-particle":"","family":"Tsukamoto","given":"Y O H","non-dropping-particle":"","parse-names":false,"suffix":""},{"dropping-particle":"","family":"Sugimoto","given":"Junjiro","non-dropping-particle":"","parse-names":false,"suffix":""},{"dropping-particle":"","family":"Yokoyama","given":"Ryuichi","non-dropping-particle":"","parse-names":false,"suffix":""},{"dropping-particle":"","family":"Zhou","given":"Yicheng","non-dropping-particle":"","parse-names":false,"suffix":""}],"container-title":"Power","id":"ITEM-1","issue":"March","issued":{"date-parts":[["2006"]]},"number-of-pages":"332-337","title":"Economic Evaluation and Scenario Analysis of Wind Generations Based on Environment Factors","type":"report"},"uris":["http://www.mendeley.com/documents/?uuid=564c8be8-eca2-4cee-ac69-24f552f9d44d"]}],"mendeley":{"formattedCitation":"(21)","plainTextFormattedCitation":"(21)","previouslyFormattedCitation":"(20)"},"properties":{"noteIndex":0},"schema":"https://github.com/citation-style-language/schema/raw/master/csl-citation.json"}</w:instrText>
      </w:r>
      <w:r w:rsidR="002227A2" w:rsidRPr="00885501">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(21)</w:t>
      </w:r>
      <w:r w:rsidR="002227A2" w:rsidRPr="00885501">
        <w:rPr>
          <w:rFonts w:ascii="Times New Roman" w:hAnsi="Times New Roman" w:cs="Times New Roman"/>
          <w:sz w:val="24"/>
          <w:szCs w:val="24"/>
        </w:rPr>
        <w:fldChar w:fldCharType="end"/>
      </w:r>
      <w:r w:rsidR="00163709" w:rsidRPr="00D84C49">
        <w:rPr>
          <w:rFonts w:ascii="Times New Roman" w:hAnsi="Times New Roman" w:cs="Times New Roman"/>
          <w:sz w:val="24"/>
          <w:szCs w:val="24"/>
          <w:lang w:val="pt-PT"/>
        </w:rPr>
        <w:t xml:space="preserve">                             </w:t>
      </w:r>
      <w:r w:rsidR="00163709" w:rsidRPr="00D84C49">
        <w:rPr>
          <w:rFonts w:ascii="Times New Roman" w:hAnsi="Times New Roman" w:cs="Times New Roman"/>
          <w:color w:val="000000" w:themeColor="text1"/>
          <w:sz w:val="24"/>
          <w:szCs w:val="24"/>
          <w:lang w:val="pt-PT"/>
        </w:rPr>
        <w:t xml:space="preserve">                    (equa</w:t>
      </w:r>
      <w:r w:rsidR="00D84C49">
        <w:rPr>
          <w:rFonts w:ascii="Times New Roman" w:hAnsi="Times New Roman" w:cs="Times New Roman"/>
          <w:color w:val="000000" w:themeColor="text1"/>
          <w:sz w:val="24"/>
          <w:szCs w:val="24"/>
          <w:lang w:val="pt-PT"/>
        </w:rPr>
        <w:t>ção</w:t>
      </w:r>
      <w:r w:rsidR="00163709" w:rsidRPr="00D84C49">
        <w:rPr>
          <w:rFonts w:ascii="Times New Roman" w:hAnsi="Times New Roman" w:cs="Times New Roman"/>
          <w:color w:val="000000" w:themeColor="text1"/>
          <w:sz w:val="24"/>
          <w:szCs w:val="24"/>
          <w:lang w:val="pt-PT"/>
        </w:rPr>
        <w:t xml:space="preserve"> 3)</w:t>
      </w:r>
    </w:p>
    <w:p w14:paraId="73EA40F8" w14:textId="466223A9" w:rsidR="00163709" w:rsidRPr="00D84C49" w:rsidRDefault="00D84C49" w:rsidP="00691500">
      <w:pPr>
        <w:spacing w:after="0" w:line="360" w:lineRule="auto"/>
        <w:ind w:left="1134" w:firstLine="709"/>
        <w:jc w:val="both"/>
        <w:rPr>
          <w:rFonts w:ascii="Times New Roman" w:hAnsi="Times New Roman" w:cs="Times New Roman"/>
          <w:sz w:val="24"/>
          <w:szCs w:val="24"/>
          <w:lang w:val="pt-PT"/>
        </w:rPr>
      </w:pPr>
      <w:r w:rsidRPr="00D84C49">
        <w:rPr>
          <w:rFonts w:ascii="Times New Roman" w:hAnsi="Times New Roman" w:cs="Times New Roman"/>
          <w:sz w:val="24"/>
          <w:szCs w:val="24"/>
          <w:lang w:val="pt-PT"/>
        </w:rPr>
        <w:t>Quando</w:t>
      </w:r>
      <w:r w:rsidR="009C3529" w:rsidRPr="00D84C49">
        <w:rPr>
          <w:rFonts w:ascii="Times New Roman" w:hAnsi="Times New Roman" w:cs="Times New Roman"/>
          <w:sz w:val="24"/>
          <w:szCs w:val="24"/>
          <w:lang w:val="pt-PT"/>
        </w:rPr>
        <w:t xml:space="preserve"> </w:t>
      </w:r>
      <w:r w:rsidRPr="00D84C49">
        <w:rPr>
          <w:rFonts w:ascii="Times New Roman" w:hAnsi="Times New Roman" w:cs="Times New Roman"/>
          <w:sz w:val="24"/>
          <w:szCs w:val="24"/>
          <w:lang w:val="pt-PT"/>
        </w:rPr>
        <w:t>FCt</w:t>
      </w:r>
      <w:r w:rsidR="009C3529" w:rsidRPr="00D84C49">
        <w:rPr>
          <w:rFonts w:ascii="Times New Roman" w:hAnsi="Times New Roman" w:cs="Times New Roman"/>
          <w:sz w:val="24"/>
          <w:szCs w:val="24"/>
          <w:lang w:val="pt-PT"/>
        </w:rPr>
        <w:t xml:space="preserve"> </w:t>
      </w:r>
      <w:r w:rsidRPr="00D84C49">
        <w:rPr>
          <w:rFonts w:ascii="Times New Roman" w:hAnsi="Times New Roman" w:cs="Times New Roman"/>
          <w:sz w:val="24"/>
          <w:szCs w:val="24"/>
          <w:lang w:val="pt-PT"/>
        </w:rPr>
        <w:t>é o fluxo de caixa no ano t: r é uma taxa de juros</w:t>
      </w:r>
    </w:p>
    <w:p w14:paraId="503E451F" w14:textId="4B315AB2" w:rsidR="00D84C49" w:rsidRPr="00D84C49" w:rsidRDefault="00D84C49" w:rsidP="00691500">
      <w:pPr>
        <w:spacing w:after="0" w:line="360" w:lineRule="auto"/>
        <w:ind w:left="1134" w:firstLine="709"/>
        <w:jc w:val="both"/>
        <w:rPr>
          <w:rFonts w:ascii="Times New Roman" w:hAnsi="Times New Roman" w:cs="Times New Roman"/>
          <w:sz w:val="24"/>
          <w:szCs w:val="24"/>
          <w:lang w:val="pt-PT"/>
        </w:rPr>
      </w:pPr>
      <w:r w:rsidRPr="00D84C49">
        <w:rPr>
          <w:rFonts w:ascii="Times New Roman" w:hAnsi="Times New Roman" w:cs="Times New Roman"/>
          <w:sz w:val="24"/>
          <w:szCs w:val="24"/>
          <w:lang w:val="pt-PT"/>
        </w:rPr>
        <w:t>Existem limitações neste método e, de acordo com</w:t>
      </w:r>
      <w:r w:rsidR="00153CA4" w:rsidRPr="00D84C49">
        <w:rPr>
          <w:rFonts w:ascii="Times New Roman" w:hAnsi="Times New Roman" w:cs="Times New Roman"/>
          <w:sz w:val="24"/>
          <w:szCs w:val="24"/>
          <w:lang w:val="pt-PT"/>
        </w:rPr>
        <w:t xml:space="preserve"> Dranka et al </w:t>
      </w:r>
      <w:r w:rsidR="00153CA4">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Energy","id":"ITEM-1","issue":"2","issued":{"date-parts":[["2020"]]},"number-of-pages":"339-364","title":"Economic evaluation methodologies for renewable energy projects","type":"report","volume":"8"},"uris":["http://www.mendeley.com/documents/?uuid=1fe5f3e7-b22d-4e41-8980-968b25750983"]}],"mendeley":{"formattedCitation":"(23)","plainTextFormattedCitation":"(23)","previouslyFormattedCitation":"(22)"},"properties":{"noteIndex":0},"schema":"https://github.com/citation-style-language/schema/raw/master/csl-citation.json"}</w:instrText>
      </w:r>
      <w:r w:rsidR="00153CA4">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(23)</w:t>
      </w:r>
      <w:r w:rsidR="00153CA4">
        <w:rPr>
          <w:rFonts w:ascii="Times New Roman" w:hAnsi="Times New Roman" w:cs="Times New Roman"/>
          <w:sz w:val="24"/>
          <w:szCs w:val="24"/>
        </w:rPr>
        <w:fldChar w:fldCharType="end"/>
      </w:r>
      <w:r w:rsidR="00153CA4" w:rsidRPr="00D84C49">
        <w:rPr>
          <w:rFonts w:ascii="Times New Roman" w:hAnsi="Times New Roman" w:cs="Times New Roman"/>
          <w:sz w:val="24"/>
          <w:szCs w:val="24"/>
          <w:lang w:val="pt-PT"/>
        </w:rPr>
        <w:t xml:space="preserve">, </w:t>
      </w:r>
      <w:r w:rsidRPr="00D84C49">
        <w:rPr>
          <w:rFonts w:ascii="Times New Roman" w:hAnsi="Times New Roman" w:cs="Times New Roman"/>
          <w:sz w:val="24"/>
          <w:szCs w:val="24"/>
          <w:lang w:val="pt-PT"/>
        </w:rPr>
        <w:t>o VPL não leva em conta a irreversibilidade, a incerteza e a flexibilidade da gestão de um projeto de investimento. Não é notoriamente suficiente para subsidiar a tomada de decisão de investimentos com grande variabilidade por si só, portanto, deve ser aplicada em conjunto com outras metodologias para trazer maior grau de certeza ao resultado final de projetos em energia renovável.</w:t>
      </w:r>
    </w:p>
    <w:p w14:paraId="2C0E02D5" w14:textId="335F74C5" w:rsidR="00CD48EF" w:rsidRPr="00D84C49" w:rsidRDefault="00D84C49" w:rsidP="00691500">
      <w:pPr>
        <w:spacing w:after="0" w:line="360" w:lineRule="auto"/>
        <w:ind w:left="1134" w:firstLine="709"/>
        <w:jc w:val="both"/>
        <w:rPr>
          <w:rFonts w:ascii="Times New Roman" w:hAnsi="Times New Roman" w:cs="Times New Roman"/>
          <w:sz w:val="24"/>
          <w:szCs w:val="24"/>
          <w:lang w:val="pt-PT"/>
        </w:rPr>
      </w:pPr>
      <w:r w:rsidRPr="00D84C49">
        <w:rPr>
          <w:rFonts w:ascii="Times New Roman" w:hAnsi="Times New Roman" w:cs="Times New Roman"/>
          <w:sz w:val="24"/>
          <w:szCs w:val="24"/>
          <w:lang w:val="pt-PT"/>
        </w:rPr>
        <w:t>Além disso, existe o valor presente ajustado (</w:t>
      </w:r>
      <w:r>
        <w:rPr>
          <w:rFonts w:ascii="Times New Roman" w:hAnsi="Times New Roman" w:cs="Times New Roman"/>
          <w:sz w:val="24"/>
          <w:szCs w:val="24"/>
          <w:lang w:val="pt-PT"/>
        </w:rPr>
        <w:t>APV</w:t>
      </w:r>
      <w:r w:rsidRPr="00D84C49">
        <w:rPr>
          <w:rFonts w:ascii="Times New Roman" w:hAnsi="Times New Roman" w:cs="Times New Roman"/>
          <w:sz w:val="24"/>
          <w:szCs w:val="24"/>
          <w:lang w:val="pt-PT"/>
        </w:rPr>
        <w:t xml:space="preserve">), que é o VPL de um projeto ou empresa com base no financiamento de capital, e incorporando o valor presente dos efeitos associados ao financiamento da dívida. Este ajustamento visa melhorar o valor atual do projeto incorporando qualquer benefício fiscal associado à dedutibilidade dos gastos com juros da dívida, que é considerada dedutível fiscalmente </w:t>
      </w:r>
      <w:r w:rsidR="00EE4592" w:rsidRPr="00C57829">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ISSN":"9780470384640","author":[{"dropping-particle":"","family":"Damodaran","given":"Aswath","non-dropping-particle":"","parse-names":false,"suffix":""}],"id":"ITEM-1","issued":{"date-parts":[["2010"]]},"number-of-pages":"52-67","title":"APPLIED CORPORATE FINANCE","type":"book"},"uris":["http://www.mendeley.com/documents/?uuid=256dc036-6ce0-485e-834f-409940ce23d4"]}],"mendeley":{"formattedCitation":"(24)","plainTextFormattedCitation":"(24)","previouslyFormattedCitation":"(23)"},"properties":{"noteIndex":0},"schema":"https://github.com/citation-style-language/schema/raw/master/csl-citation.json"}</w:instrText>
      </w:r>
      <w:r w:rsidR="00EE4592" w:rsidRPr="00C57829">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(24)</w:t>
      </w:r>
      <w:r w:rsidR="00EE4592" w:rsidRPr="00C57829">
        <w:rPr>
          <w:rFonts w:ascii="Times New Roman" w:hAnsi="Times New Roman" w:cs="Times New Roman"/>
          <w:sz w:val="24"/>
          <w:szCs w:val="24"/>
        </w:rPr>
        <w:fldChar w:fldCharType="end"/>
      </w:r>
      <w:r w:rsidR="00CD48EF" w:rsidRPr="00D84C49">
        <w:rPr>
          <w:rFonts w:ascii="Times New Roman" w:hAnsi="Times New Roman" w:cs="Times New Roman"/>
          <w:sz w:val="24"/>
          <w:szCs w:val="24"/>
          <w:lang w:val="pt-PT"/>
        </w:rPr>
        <w:t xml:space="preserve">. </w:t>
      </w:r>
      <w:r w:rsidRPr="00D84C49">
        <w:rPr>
          <w:rFonts w:ascii="Times New Roman" w:hAnsi="Times New Roman" w:cs="Times New Roman"/>
          <w:sz w:val="24"/>
          <w:szCs w:val="24"/>
          <w:lang w:val="pt-PT"/>
        </w:rPr>
        <w:t xml:space="preserve">Basicamente, o APV afirma que o uso da dívida pode transformar um projeto de VPL negativo em positivo, mostrando ao investidor os benefícios fiscais de uma ou mais deduções fiscais decorrentes de juros ou empréstimos a taxas abaixo do mercado </w:t>
      </w:r>
      <w:r w:rsidR="004E3CAB" w:rsidRPr="00C57829">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{"citationItems":[{"id":"ITEM-1","itemData":{"author":[{"dropping-particle":"","family":"Mota","given":"António Gomes","non-dropping-particle":"","parse-names":false,"suffix":""}],"id":"ITEM-1","issued":{"date-parts":[["2015"]]},"title":"PROJECT INVESTMENT ANALYSIS","type":"report"},"uris":["http://www.mendeley.com/documents/?uuid=879009d2-3f9b-4ee7-bb01-4c35cbbfc23e"]}],"mendeley":{"formattedCitation":"(25)","plainTextFormattedCitation":"(25)","previouslyFormattedCitation":"(24)"},"properties":{"noteIndex":0},"schema":"https://github.com/citation-style-language/schema/raw/master/csl-citation.json"}</w:instrText>
      </w:r>
      <w:r w:rsidR="004E3CAB" w:rsidRPr="00C57829">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(25)</w:t>
      </w:r>
      <w:r w:rsidR="004E3CAB" w:rsidRPr="00C57829">
        <w:rPr>
          <w:rFonts w:ascii="Times New Roman" w:hAnsi="Times New Roman" w:cs="Times New Roman"/>
          <w:sz w:val="24"/>
          <w:szCs w:val="24"/>
        </w:rPr>
        <w:fldChar w:fldCharType="end"/>
      </w:r>
      <w:r w:rsidR="004E3CAB" w:rsidRPr="00D84C49">
        <w:rPr>
          <w:rFonts w:ascii="Times New Roman" w:hAnsi="Times New Roman" w:cs="Times New Roman"/>
          <w:sz w:val="24"/>
          <w:szCs w:val="24"/>
          <w:lang w:val="pt-PT"/>
        </w:rPr>
        <w:t>.</w:t>
      </w:r>
    </w:p>
    <w:p w14:paraId="308F612C" w14:textId="77777777" w:rsidR="00CD48EF" w:rsidRPr="00D84C49" w:rsidRDefault="00CD48EF" w:rsidP="00691500">
      <w:pPr>
        <w:spacing w:after="0" w:line="360" w:lineRule="auto"/>
        <w:ind w:left="1134" w:firstLine="709"/>
        <w:jc w:val="both"/>
        <w:rPr>
          <w:rFonts w:ascii="Times New Roman" w:hAnsi="Times New Roman" w:cs="Times New Roman"/>
          <w:sz w:val="24"/>
          <w:szCs w:val="24"/>
          <w:lang w:val="pt-PT"/>
        </w:rPr>
      </w:pPr>
    </w:p>
    <w:p w14:paraId="2DE7E9B0" w14:textId="66DDA626" w:rsidR="00CD48EF" w:rsidRPr="00425467" w:rsidRDefault="00CD48EF" w:rsidP="00691500">
      <w:pPr>
        <w:spacing w:after="0" w:line="360" w:lineRule="auto"/>
        <w:ind w:left="1134" w:firstLine="709"/>
        <w:jc w:val="both"/>
        <w:rPr>
          <w:rFonts w:ascii="Times New Roman" w:hAnsi="Times New Roman" w:cs="Times New Roman"/>
          <w:sz w:val="24"/>
          <w:szCs w:val="24"/>
          <w:lang w:val="pt-PT"/>
        </w:rPr>
      </w:pPr>
      <w:r w:rsidRPr="00425467">
        <w:rPr>
          <w:rFonts w:ascii="Times New Roman" w:hAnsi="Times New Roman" w:cs="Times New Roman"/>
          <w:sz w:val="24"/>
          <w:szCs w:val="24"/>
          <w:lang w:val="pt-PT"/>
        </w:rPr>
        <w:t xml:space="preserve">APV = </w:t>
      </w:r>
      <w:r w:rsidR="00425467" w:rsidRPr="00425467">
        <w:rPr>
          <w:rFonts w:ascii="Times New Roman" w:hAnsi="Times New Roman" w:cs="Times New Roman"/>
          <w:sz w:val="24"/>
          <w:szCs w:val="24"/>
          <w:lang w:val="pt-PT"/>
        </w:rPr>
        <w:t xml:space="preserve">Valor Presente da empresa sem dívida + </w:t>
      </w:r>
      <w:bookmarkStart w:id="3" w:name="_Hlk132733832"/>
      <w:r w:rsidR="00425467" w:rsidRPr="00425467">
        <w:rPr>
          <w:rFonts w:ascii="Times New Roman" w:hAnsi="Times New Roman" w:cs="Times New Roman"/>
          <w:sz w:val="24"/>
          <w:szCs w:val="24"/>
          <w:lang w:val="pt-PT"/>
        </w:rPr>
        <w:t>Valor Presente dos e</w:t>
      </w:r>
      <w:r w:rsidR="00425467">
        <w:rPr>
          <w:rFonts w:ascii="Times New Roman" w:hAnsi="Times New Roman" w:cs="Times New Roman"/>
          <w:sz w:val="24"/>
          <w:szCs w:val="24"/>
          <w:lang w:val="pt-PT"/>
        </w:rPr>
        <w:t>feitos do financiamento</w:t>
      </w:r>
      <w:r w:rsidR="00425467">
        <w:rPr>
          <w:rFonts w:ascii="Times New Roman" w:hAnsi="Times New Roman" w:cs="Times New Roman"/>
          <w:sz w:val="24"/>
          <w:szCs w:val="24"/>
          <w:lang w:val="pt-PT"/>
        </w:rPr>
        <w:tab/>
      </w:r>
      <w:r w:rsidRPr="00425467">
        <w:rPr>
          <w:rFonts w:ascii="Times New Roman" w:hAnsi="Times New Roman" w:cs="Times New Roman"/>
          <w:sz w:val="24"/>
          <w:szCs w:val="24"/>
          <w:lang w:val="pt-PT"/>
        </w:rPr>
        <w:t xml:space="preserve"> </w:t>
      </w:r>
      <w:bookmarkEnd w:id="3"/>
    </w:p>
    <w:p w14:paraId="62B95873" w14:textId="603BFAD6" w:rsidR="00CD48EF" w:rsidRDefault="00425467" w:rsidP="00691500">
      <w:pPr>
        <w:spacing w:after="0" w:line="360" w:lineRule="auto"/>
        <w:ind w:left="1134" w:firstLine="709"/>
        <w:jc w:val="both"/>
        <w:rPr>
          <w:rFonts w:ascii="Times New Roman" w:hAnsi="Times New Roman" w:cs="Times New Roman"/>
          <w:sz w:val="24"/>
          <w:szCs w:val="24"/>
          <w:lang w:val="pt-PT"/>
        </w:rPr>
      </w:pPr>
      <w:r w:rsidRPr="00425467">
        <w:rPr>
          <w:rFonts w:ascii="Times New Roman" w:hAnsi="Times New Roman" w:cs="Times New Roman"/>
          <w:sz w:val="24"/>
          <w:szCs w:val="24"/>
          <w:lang w:val="pt-PT"/>
        </w:rPr>
        <w:t xml:space="preserve">Valor Presente da empresa sem dívida </w:t>
      </w:r>
      <w:r w:rsidR="00CD48EF" w:rsidRPr="00425467">
        <w:rPr>
          <w:rFonts w:ascii="Times New Roman" w:hAnsi="Times New Roman" w:cs="Times New Roman"/>
          <w:sz w:val="24"/>
          <w:szCs w:val="24"/>
          <w:lang w:val="pt-PT"/>
        </w:rPr>
        <w:t>=  FCFF /(</w:t>
      </w:r>
      <w:r w:rsidR="00CD48EF" w:rsidRPr="00C57829">
        <w:rPr>
          <w:rFonts w:ascii="Times New Roman" w:hAnsi="Times New Roman" w:cs="Times New Roman"/>
          <w:sz w:val="24"/>
          <w:szCs w:val="24"/>
        </w:rPr>
        <w:t>ρ</w:t>
      </w:r>
      <w:r w:rsidR="00CD48EF" w:rsidRPr="00425467">
        <w:rPr>
          <w:rFonts w:ascii="Times New Roman" w:hAnsi="Times New Roman" w:cs="Times New Roman"/>
          <w:sz w:val="24"/>
          <w:szCs w:val="24"/>
          <w:lang w:val="pt-PT"/>
        </w:rPr>
        <w:t>u -g)”</w:t>
      </w:r>
      <w:r w:rsidR="00EE4592" w:rsidRPr="00C57829">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ISSN":"9780470384640","author":[{"dropping-particle":"","family":"Damodaran","given":"Aswath","non-dropping-particle":"","parse-names":false,"suffix":""}],"id":"ITEM-1","issued":{"date-parts":[["2010"]]},"number-of-pages":"52-67","title":"APPLIED CORPORATE FINANCE","type":"book"},"uris":["http://www.mendeley.com/documents/?uuid=256dc036-6ce0-485e-834f-409940ce23d4"]}],"mendeley":{"formattedCitation":"(24)","plainTextFormattedCitation":"(24)","previouslyFormattedCitation":"(23)"},"properties":{"noteIndex":0},"schema":"https://github.com/citation-style-language/schema/raw/master/csl-citation.json"}</w:instrText>
      </w:r>
      <w:r w:rsidR="00EE4592" w:rsidRPr="00C57829">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(24)</w:t>
      </w:r>
      <w:r w:rsidR="00EE4592" w:rsidRPr="00C57829">
        <w:rPr>
          <w:rFonts w:ascii="Times New Roman" w:hAnsi="Times New Roman" w:cs="Times New Roman"/>
          <w:sz w:val="24"/>
          <w:szCs w:val="24"/>
        </w:rPr>
        <w:fldChar w:fldCharType="end"/>
      </w:r>
    </w:p>
    <w:p w14:paraId="03757DFE" w14:textId="77777777" w:rsidR="00624E11" w:rsidRPr="00425467" w:rsidRDefault="00624E11" w:rsidP="00691500">
      <w:pPr>
        <w:spacing w:after="0" w:line="360" w:lineRule="auto"/>
        <w:ind w:left="1134" w:firstLine="709"/>
        <w:jc w:val="both"/>
        <w:rPr>
          <w:rFonts w:ascii="Times New Roman" w:hAnsi="Times New Roman" w:cs="Times New Roman"/>
          <w:sz w:val="24"/>
          <w:szCs w:val="24"/>
          <w:lang w:val="pt-PT"/>
        </w:rPr>
      </w:pPr>
    </w:p>
    <w:p w14:paraId="7B830E5D" w14:textId="77777777" w:rsidR="00CD48EF" w:rsidRPr="00C57829" w:rsidRDefault="00CD48EF" w:rsidP="00691500">
      <w:pPr>
        <w:spacing w:after="0" w:line="360" w:lineRule="auto"/>
        <w:ind w:left="1134" w:firstLine="709"/>
        <w:jc w:val="both"/>
        <w:rPr>
          <w:rFonts w:ascii="Times New Roman" w:hAnsi="Times New Roman" w:cs="Times New Roman"/>
          <w:sz w:val="24"/>
          <w:szCs w:val="24"/>
          <w:lang w:val="pt-PT"/>
        </w:rPr>
      </w:pPr>
      <w:r w:rsidRPr="00C57829">
        <w:rPr>
          <w:rFonts w:ascii="Times New Roman" w:hAnsi="Times New Roman" w:cs="Times New Roman"/>
          <w:sz w:val="24"/>
          <w:szCs w:val="24"/>
          <w:lang w:val="pt-PT"/>
        </w:rPr>
        <w:t>FCFF = fluxo de caixa operacional após impostos esperado para a empresa no período seguinte;</w:t>
      </w:r>
    </w:p>
    <w:p w14:paraId="6DCAF6C6" w14:textId="77777777" w:rsidR="00CD48EF" w:rsidRPr="00C57829" w:rsidRDefault="00CD48EF" w:rsidP="00691500">
      <w:pPr>
        <w:spacing w:after="0" w:line="360" w:lineRule="auto"/>
        <w:ind w:left="1134" w:firstLine="709"/>
        <w:jc w:val="both"/>
        <w:rPr>
          <w:rFonts w:ascii="Times New Roman" w:hAnsi="Times New Roman" w:cs="Times New Roman"/>
          <w:sz w:val="24"/>
          <w:szCs w:val="24"/>
          <w:lang w:val="pt-PT"/>
        </w:rPr>
      </w:pPr>
      <w:r w:rsidRPr="00C57829">
        <w:rPr>
          <w:rFonts w:ascii="Times New Roman" w:hAnsi="Times New Roman" w:cs="Times New Roman"/>
          <w:sz w:val="24"/>
          <w:szCs w:val="24"/>
        </w:rPr>
        <w:t>ρ</w:t>
      </w:r>
      <w:r w:rsidRPr="00C57829">
        <w:rPr>
          <w:rFonts w:ascii="Times New Roman" w:hAnsi="Times New Roman" w:cs="Times New Roman"/>
          <w:sz w:val="24"/>
          <w:szCs w:val="24"/>
          <w:lang w:val="pt-PT"/>
        </w:rPr>
        <w:t>u = custo de capital não alavancado and</w:t>
      </w:r>
    </w:p>
    <w:p w14:paraId="1E6A06D6" w14:textId="77777777" w:rsidR="00CD48EF" w:rsidRPr="00C57829" w:rsidRDefault="00CD48EF" w:rsidP="00691500">
      <w:pPr>
        <w:spacing w:after="0" w:line="360" w:lineRule="auto"/>
        <w:ind w:left="1134" w:firstLine="709"/>
        <w:jc w:val="both"/>
        <w:rPr>
          <w:rFonts w:ascii="Times New Roman" w:hAnsi="Times New Roman" w:cs="Times New Roman"/>
          <w:sz w:val="24"/>
          <w:szCs w:val="24"/>
          <w:lang w:val="pt-PT"/>
        </w:rPr>
      </w:pPr>
      <w:r w:rsidRPr="00C57829">
        <w:rPr>
          <w:rFonts w:ascii="Times New Roman" w:hAnsi="Times New Roman" w:cs="Times New Roman"/>
          <w:sz w:val="24"/>
          <w:szCs w:val="24"/>
          <w:lang w:val="pt-PT"/>
        </w:rPr>
        <w:t>g = taxa de crescimento esperada.</w:t>
      </w:r>
    </w:p>
    <w:p w14:paraId="649511C9" w14:textId="77777777" w:rsidR="00CD48EF" w:rsidRPr="00C57829" w:rsidRDefault="00CD48EF" w:rsidP="00691500">
      <w:pPr>
        <w:spacing w:after="0" w:line="360" w:lineRule="auto"/>
        <w:ind w:left="1134" w:firstLine="709"/>
        <w:jc w:val="both"/>
        <w:rPr>
          <w:rFonts w:ascii="Times New Roman" w:hAnsi="Times New Roman" w:cs="Times New Roman"/>
          <w:sz w:val="24"/>
          <w:szCs w:val="24"/>
          <w:lang w:val="pt-PT"/>
        </w:rPr>
      </w:pPr>
    </w:p>
    <w:p w14:paraId="15589F3C" w14:textId="4D6F2DA6" w:rsidR="00CD48EF" w:rsidRDefault="00425467" w:rsidP="00691500">
      <w:pPr>
        <w:spacing w:after="0" w:line="360" w:lineRule="auto"/>
        <w:ind w:left="1134" w:firstLine="709"/>
        <w:jc w:val="both"/>
        <w:rPr>
          <w:rFonts w:ascii="Times New Roman" w:hAnsi="Times New Roman" w:cs="Times New Roman"/>
          <w:sz w:val="24"/>
          <w:szCs w:val="24"/>
          <w:lang w:val="pt-PT"/>
        </w:rPr>
      </w:pPr>
      <w:r w:rsidRPr="00425467">
        <w:rPr>
          <w:rFonts w:ascii="Times New Roman" w:hAnsi="Times New Roman" w:cs="Times New Roman"/>
          <w:sz w:val="24"/>
          <w:szCs w:val="24"/>
          <w:lang w:val="pt-PT"/>
        </w:rPr>
        <w:t>Valor Presente dos efeitos do financiamento</w:t>
      </w:r>
      <w:r w:rsidRPr="00425467">
        <w:rPr>
          <w:rFonts w:ascii="Times New Roman" w:hAnsi="Times New Roman" w:cs="Times New Roman"/>
          <w:sz w:val="24"/>
          <w:szCs w:val="24"/>
          <w:lang w:val="pt-PT"/>
        </w:rPr>
        <w:tab/>
        <w:t xml:space="preserve"> </w:t>
      </w:r>
      <w:r w:rsidR="00CD48EF" w:rsidRPr="00425467">
        <w:rPr>
          <w:rFonts w:ascii="Times New Roman" w:hAnsi="Times New Roman" w:cs="Times New Roman"/>
          <w:sz w:val="24"/>
          <w:szCs w:val="24"/>
          <w:lang w:val="pt-PT"/>
        </w:rPr>
        <w:t xml:space="preserve">= </w:t>
      </w:r>
      <w:r w:rsidRPr="00425467">
        <w:rPr>
          <w:rFonts w:ascii="Times New Roman" w:hAnsi="Times New Roman" w:cs="Times New Roman"/>
          <w:sz w:val="24"/>
          <w:szCs w:val="24"/>
          <w:lang w:val="pt-PT"/>
        </w:rPr>
        <w:t xml:space="preserve">Benefício fiscal de juros que é formado para empresas endividadas e cálculo do valor presente do benefício fiscal de juros, esse benefício fiscal é função da taxa de imposto da empresa, descontado ao custo da dívida para refletir o risco do fluxo de caixa </w:t>
      </w:r>
      <w:r w:rsidR="00EE4592" w:rsidRPr="00C57829">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ISSN":"9780470384640","author":[{"dropping-particle":"","family":"Damodaran","given":"Aswath","non-dropping-particle":"","parse-names":false,"suffix":""}],"id":"ITEM-1","issued":{"date-parts":[["2010"]]},"number-of-pages":"52-67","title":"APPLIED CORPORATE FINANCE","type":"book"},"uris":["http://www.mendeley.com/documents/?uuid=256dc036-6ce0-485e-834f-409940ce23d4"]}],"mendeley":{"formattedCitation":"(24)","plainTextFormattedCitation":"(24)","previouslyFormattedCitation":"(23)"},"properties":{"noteIndex":0},"schema":"https://github.com/citation-style-language/schema/raw/master/csl-citation.json"}</w:instrText>
      </w:r>
      <w:r w:rsidR="00EE4592" w:rsidRPr="00C57829">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(24)</w:t>
      </w:r>
      <w:r w:rsidR="00EE4592" w:rsidRPr="00C57829">
        <w:rPr>
          <w:rFonts w:ascii="Times New Roman" w:hAnsi="Times New Roman" w:cs="Times New Roman"/>
          <w:sz w:val="24"/>
          <w:szCs w:val="24"/>
        </w:rPr>
        <w:fldChar w:fldCharType="end"/>
      </w:r>
      <w:r w:rsidR="00CD48EF" w:rsidRPr="00425467">
        <w:rPr>
          <w:rFonts w:ascii="Times New Roman" w:hAnsi="Times New Roman" w:cs="Times New Roman"/>
          <w:sz w:val="24"/>
          <w:szCs w:val="24"/>
          <w:lang w:val="pt-PT"/>
        </w:rPr>
        <w:t xml:space="preserve">. </w:t>
      </w:r>
    </w:p>
    <w:p w14:paraId="04B56651" w14:textId="77777777" w:rsidR="00624E11" w:rsidRPr="00425467" w:rsidRDefault="00624E11" w:rsidP="00691500">
      <w:pPr>
        <w:spacing w:after="0" w:line="360" w:lineRule="auto"/>
        <w:ind w:left="1134" w:firstLine="709"/>
        <w:jc w:val="both"/>
        <w:rPr>
          <w:rFonts w:ascii="Times New Roman" w:hAnsi="Times New Roman" w:cs="Times New Roman"/>
          <w:sz w:val="24"/>
          <w:szCs w:val="24"/>
          <w:lang w:val="pt-PT"/>
        </w:rPr>
      </w:pPr>
    </w:p>
    <w:p w14:paraId="03E18E6D" w14:textId="29225861" w:rsidR="00CD48EF" w:rsidRPr="00425467" w:rsidRDefault="00425467" w:rsidP="00691500">
      <w:pPr>
        <w:spacing w:after="0" w:line="360" w:lineRule="auto"/>
        <w:ind w:left="1134" w:firstLine="709"/>
        <w:jc w:val="both"/>
        <w:rPr>
          <w:rFonts w:ascii="Times New Roman" w:hAnsi="Times New Roman" w:cs="Times New Roman"/>
          <w:sz w:val="24"/>
          <w:szCs w:val="24"/>
          <w:lang w:val="pt-PT"/>
        </w:rPr>
      </w:pPr>
      <w:r w:rsidRPr="00425467">
        <w:rPr>
          <w:rFonts w:ascii="Times New Roman" w:hAnsi="Times New Roman" w:cs="Times New Roman"/>
          <w:sz w:val="24"/>
          <w:szCs w:val="24"/>
          <w:lang w:val="pt-PT"/>
        </w:rPr>
        <w:t>Valor dos Benefícios Fiscais</w:t>
      </w:r>
      <w:r w:rsidR="00CD48EF" w:rsidRPr="00425467">
        <w:rPr>
          <w:rFonts w:ascii="Times New Roman" w:hAnsi="Times New Roman" w:cs="Times New Roman"/>
          <w:sz w:val="24"/>
          <w:szCs w:val="24"/>
          <w:lang w:val="pt-PT"/>
        </w:rPr>
        <w:t xml:space="preserve"> = (</w:t>
      </w:r>
      <w:r w:rsidRPr="00425467">
        <w:rPr>
          <w:rFonts w:ascii="Times New Roman" w:hAnsi="Times New Roman" w:cs="Times New Roman"/>
          <w:sz w:val="24"/>
          <w:szCs w:val="24"/>
          <w:lang w:val="pt-PT"/>
        </w:rPr>
        <w:t xml:space="preserve">taxa de </w:t>
      </w:r>
      <w:r>
        <w:rPr>
          <w:rFonts w:ascii="Times New Roman" w:hAnsi="Times New Roman" w:cs="Times New Roman"/>
          <w:sz w:val="24"/>
          <w:szCs w:val="24"/>
          <w:lang w:val="pt-PT"/>
        </w:rPr>
        <w:t>imposto</w:t>
      </w:r>
      <w:r w:rsidR="00CD48EF" w:rsidRPr="00425467">
        <w:rPr>
          <w:rFonts w:ascii="Times New Roman" w:hAnsi="Times New Roman" w:cs="Times New Roman"/>
          <w:sz w:val="24"/>
          <w:szCs w:val="24"/>
          <w:lang w:val="pt-PT"/>
        </w:rPr>
        <w:t xml:space="preserve"> * </w:t>
      </w:r>
      <w:r w:rsidRPr="00425467">
        <w:rPr>
          <w:rFonts w:ascii="Times New Roman" w:hAnsi="Times New Roman" w:cs="Times New Roman"/>
          <w:sz w:val="24"/>
          <w:szCs w:val="24"/>
          <w:lang w:val="pt-PT"/>
        </w:rPr>
        <w:t xml:space="preserve">dívida </w:t>
      </w:r>
      <w:r>
        <w:rPr>
          <w:rFonts w:ascii="Times New Roman" w:hAnsi="Times New Roman" w:cs="Times New Roman"/>
          <w:sz w:val="24"/>
          <w:szCs w:val="24"/>
          <w:lang w:val="pt-PT"/>
        </w:rPr>
        <w:t xml:space="preserve">do </w:t>
      </w:r>
      <w:r w:rsidRPr="00425467">
        <w:rPr>
          <w:rFonts w:ascii="Times New Roman" w:hAnsi="Times New Roman" w:cs="Times New Roman"/>
          <w:sz w:val="24"/>
          <w:szCs w:val="24"/>
          <w:lang w:val="pt-PT"/>
        </w:rPr>
        <w:t xml:space="preserve">empréstimo </w:t>
      </w:r>
      <w:r w:rsidR="00CD48EF" w:rsidRPr="00425467">
        <w:rPr>
          <w:rFonts w:ascii="Times New Roman" w:hAnsi="Times New Roman" w:cs="Times New Roman"/>
          <w:sz w:val="24"/>
          <w:szCs w:val="24"/>
          <w:lang w:val="pt-PT"/>
        </w:rPr>
        <w:t xml:space="preserve">* </w:t>
      </w:r>
      <w:r w:rsidR="00BF164D">
        <w:rPr>
          <w:rFonts w:ascii="Times New Roman" w:hAnsi="Times New Roman" w:cs="Times New Roman"/>
          <w:sz w:val="24"/>
          <w:szCs w:val="24"/>
          <w:lang w:val="pt-PT"/>
        </w:rPr>
        <w:t>taxa de juros</w:t>
      </w:r>
      <w:r w:rsidR="00CD48EF" w:rsidRPr="00425467">
        <w:rPr>
          <w:rFonts w:ascii="Times New Roman" w:hAnsi="Times New Roman" w:cs="Times New Roman"/>
          <w:sz w:val="24"/>
          <w:szCs w:val="24"/>
          <w:lang w:val="pt-PT"/>
        </w:rPr>
        <w:t xml:space="preserve">) / </w:t>
      </w:r>
      <w:r w:rsidR="00BF164D">
        <w:rPr>
          <w:rFonts w:ascii="Times New Roman" w:hAnsi="Times New Roman" w:cs="Times New Roman"/>
          <w:sz w:val="24"/>
          <w:szCs w:val="24"/>
          <w:lang w:val="pt-PT"/>
        </w:rPr>
        <w:t>taxa de juros</w:t>
      </w:r>
      <w:r w:rsidR="00CD48EF" w:rsidRPr="00425467">
        <w:rPr>
          <w:rFonts w:ascii="Times New Roman" w:hAnsi="Times New Roman" w:cs="Times New Roman"/>
          <w:sz w:val="24"/>
          <w:szCs w:val="24"/>
          <w:lang w:val="pt-PT"/>
        </w:rPr>
        <w:t xml:space="preserve"> </w:t>
      </w:r>
    </w:p>
    <w:p w14:paraId="7F21A5F7" w14:textId="77777777" w:rsidR="00CD48EF" w:rsidRPr="00425467" w:rsidRDefault="00CD48EF" w:rsidP="00691500">
      <w:pPr>
        <w:spacing w:after="0" w:line="360" w:lineRule="auto"/>
        <w:ind w:left="1134" w:firstLine="709"/>
        <w:jc w:val="both"/>
        <w:rPr>
          <w:rFonts w:ascii="Times New Roman" w:hAnsi="Times New Roman" w:cs="Times New Roman"/>
          <w:color w:val="4472C4" w:themeColor="accent1"/>
          <w:sz w:val="24"/>
          <w:szCs w:val="24"/>
          <w:lang w:val="pt-PT"/>
        </w:rPr>
      </w:pPr>
    </w:p>
    <w:p w14:paraId="0CCBC0A4" w14:textId="16D52F9F" w:rsidR="00CD48EF" w:rsidRPr="00BF164D" w:rsidRDefault="00BF164D" w:rsidP="00691500">
      <w:pPr>
        <w:spacing w:after="0" w:line="360" w:lineRule="auto"/>
        <w:ind w:left="1134" w:firstLine="709"/>
        <w:jc w:val="both"/>
        <w:rPr>
          <w:rFonts w:ascii="Times New Roman" w:hAnsi="Times New Roman" w:cs="Times New Roman"/>
          <w:sz w:val="24"/>
          <w:szCs w:val="24"/>
          <w:lang w:val="pt-PT"/>
        </w:rPr>
      </w:pPr>
      <w:r w:rsidRPr="00BF164D">
        <w:rPr>
          <w:rFonts w:ascii="Times New Roman" w:hAnsi="Times New Roman" w:cs="Times New Roman"/>
          <w:sz w:val="24"/>
          <w:szCs w:val="24"/>
          <w:lang w:val="pt-PT"/>
        </w:rPr>
        <w:t xml:space="preserve">Em regra, uma vez incluído o ajuste, os projetos com valor presente ajustado positivo devem ser aceitos e aqueles com valor presente ajustado negativo devem ser rejeitados. Como o APV pode ser aplicado para analisar a estrutura de capital, é um método útil para empresas com grande carga de endividamento, tendo o benefício fiscal, como principal benefício do empréstimo, capaz de melhorar o valor presente do projeto. Por esse motivo, o APV parece ser mais confiável e preferível para a realização de transações de aquisição alavancada. O valor da firma alavancada pode ser estimado em diferentes níveis de endividamento, sendo o índice de endividamento ótimo o nível de endividamento que maximiza o valor da firma </w:t>
      </w:r>
      <w:r w:rsidR="00EE4592" w:rsidRPr="00AB228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ISSN":"9780470384640","author":[{"dropping-particle":"","family":"Damodaran","given":"Aswath","non-dropping-particle":"","parse-names":false,"suffix":""}],"id":"ITEM-1","issued":{"date-parts":[["2010"]]},"number-of-pages":"52-67","title":"APPLIED CORPORATE FINANCE","type":"book"},"uris":["http://www.mendeley.com/documents/?uuid=256dc036-6ce0-485e-834f-409940ce23d4"]}],"mendeley":{"formattedCitation":"(24)","plainTextFormattedCitation":"(24)","previouslyFormattedCitation":"(23)"},"properties":{"noteIndex":0},"schema":"https://github.com/citation-style-language/schema/raw/master/csl-citation.json"}</w:instrText>
      </w:r>
      <w:r w:rsidR="00EE4592" w:rsidRPr="00AB228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(24)</w:t>
      </w:r>
      <w:r w:rsidR="00EE4592" w:rsidRPr="00AB228B">
        <w:rPr>
          <w:rFonts w:ascii="Times New Roman" w:hAnsi="Times New Roman" w:cs="Times New Roman"/>
          <w:sz w:val="24"/>
          <w:szCs w:val="24"/>
        </w:rPr>
        <w:fldChar w:fldCharType="end"/>
      </w:r>
      <w:r w:rsidR="00CD48EF" w:rsidRPr="00BF164D">
        <w:rPr>
          <w:rFonts w:ascii="Times New Roman" w:hAnsi="Times New Roman" w:cs="Times New Roman"/>
          <w:sz w:val="24"/>
          <w:szCs w:val="24"/>
          <w:lang w:val="pt-PT"/>
        </w:rPr>
        <w:t>.</w:t>
      </w:r>
    </w:p>
    <w:p w14:paraId="170BDCFF" w14:textId="3F25A34B" w:rsidR="00EE4592" w:rsidRDefault="00BF164D" w:rsidP="00691500">
      <w:pPr>
        <w:spacing w:after="0" w:line="360" w:lineRule="auto"/>
        <w:ind w:left="1134" w:firstLine="709"/>
        <w:jc w:val="both"/>
        <w:rPr>
          <w:rFonts w:ascii="Times New Roman" w:hAnsi="Times New Roman" w:cs="Times New Roman"/>
          <w:sz w:val="24"/>
          <w:szCs w:val="24"/>
        </w:rPr>
      </w:pPr>
      <w:r w:rsidRPr="00BF164D">
        <w:rPr>
          <w:rFonts w:ascii="Times New Roman" w:hAnsi="Times New Roman" w:cs="Times New Roman"/>
          <w:sz w:val="24"/>
          <w:szCs w:val="24"/>
          <w:lang w:val="pt-PT"/>
        </w:rPr>
        <w:t xml:space="preserve">De acordo com </w:t>
      </w:r>
      <w:r w:rsidR="00CA1623" w:rsidRPr="00BF164D">
        <w:rPr>
          <w:rFonts w:ascii="Times New Roman" w:hAnsi="Times New Roman" w:cs="Times New Roman"/>
          <w:sz w:val="24"/>
          <w:szCs w:val="24"/>
          <w:lang w:val="pt-PT"/>
        </w:rPr>
        <w:t xml:space="preserve">Pienaar </w:t>
      </w:r>
      <w:r w:rsidR="00CA1623">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{"citationItems":[{"id":"ITEM-1","itemData":{"abstract":"A Abstract Since first developed by S C Myers, the adjusted present value (APV) approach has gained wide recognition as an acceptable method of discounting cash flows. Although a number of assumptions have to be made, there is merit in using the APV method as an alternative to the NPV method of project appraisal. The purpose of this article is to evaluate the appropriateness of the APV method for investment appraisal purposes in the South African context. The major advantage of the APV method is that it separates the NPV rendered by the project if it were aU-equity financed, from the side-effects of financing. This allows the advantage of project-specific financing to be taken into account in a very direct way when a project is evaluated, which is especially helpful when the weight or cost of financing differs from the rest of the company. Within the South African context, and specifically against the background of South African taxation legislation, certain principles underlying APV is questionable. The major point of critique is that the existence of the tax shield under South African taxation legislation is not proven. The second point of critique is that the different formulae used to determine the Ku, the cost of equity in an ungeared project, only render the same answer when the cost of debt is equal to the risk-free rate. In this regard a suggestion is made to adjust Ku for the premium on the risk-free rate in the case where the cost of debt exceeds the risk-free rate. Keywords Adjusted present value (APy) Net present value (NPy)","author":[{"dropping-particle":"","family":"Pienaar","given":"A","non-dropping-particle":"","parse-names":false,"suffix":""}],"container-title":"Meditari Accountancy Research","id":"ITEM-1","issued":{"date-parts":[["1998"]]},"number-of-pages":"279 - 300","title":"Investment appraisal: A critical review of the adjusted present value (APV) method from a South African perspective","type":"book","volume":"6"},"uris":["http://www.mendeley.com/documents/?uuid=1f39ef4d-d0f7-4384-87f2-4f80b529ef64"]}],"mendeley":{"formattedCitation":"(26)","plainTextFormattedCitation":"(26)","previouslyFormattedCitation":"(25)"},"properties":{"noteIndex":0},"schema":"https://github.com/citation-style-language/schema/raw/master/csl-citation.json"}</w:instrText>
      </w:r>
      <w:r w:rsidR="00CA1623">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(26)</w:t>
      </w:r>
      <w:r w:rsidR="00CA1623">
        <w:rPr>
          <w:rFonts w:ascii="Times New Roman" w:hAnsi="Times New Roman" w:cs="Times New Roman"/>
          <w:sz w:val="24"/>
          <w:szCs w:val="24"/>
        </w:rPr>
        <w:fldChar w:fldCharType="end"/>
      </w:r>
      <w:r w:rsidR="00B1184B" w:rsidRPr="00BF164D">
        <w:rPr>
          <w:rFonts w:ascii="Times New Roman" w:hAnsi="Times New Roman" w:cs="Times New Roman"/>
          <w:sz w:val="24"/>
          <w:szCs w:val="24"/>
          <w:lang w:val="pt-PT"/>
        </w:rPr>
        <w:t xml:space="preserve">, </w:t>
      </w:r>
      <w:r w:rsidRPr="00BF164D">
        <w:rPr>
          <w:rFonts w:ascii="Times New Roman" w:hAnsi="Times New Roman" w:cs="Times New Roman"/>
          <w:sz w:val="24"/>
          <w:szCs w:val="24"/>
          <w:lang w:val="pt-PT"/>
        </w:rPr>
        <w:t xml:space="preserve">a principal vantagem do VPL ajustado é que ele combina as decisões de investimento e financiamento, pois dissocia o efeito adverso do financiamento do valor do VPL do projeto se o projeto fosse financiado por capital próprio. A técnica APV é especialmente útil na avaliação de metas de aquisição. Isso porque nos casos em que há fusão entre empresas, por exemplo, a melhor forma de lidar com o custo da dívida e a estrutura de capital associada à fusão é utilizando a metodologia APV e identificando a despesa esperada de juros por ano, e encontrando de forma isolada os benefícios fiscais dos juros e do valor "assimétrico" da firma </w:t>
      </w:r>
      <w:r w:rsidR="00B0273F">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{"citationItems":[{"id":"ITEM-1","itemData":{"DOI":"10.1016/0890-8389(89)90100-5","ISBN":"0324319878","ISSN":"08908389","abstract":"Now you can trust the only text specifically written for today's Intermediate or Advanced Corporate Finance course - Brigham/Daves' Intermediate Financial Management, Tenth Edition. This comprehensive text from the renowned author team Brigham/Daves keeps the reader first in finance with a full understanding of the conceptual theories and practical skills that lead to stronger financial decisions. The book reinforces coverage from earlier courses in corporate finance, while providing new advanced material to challenge even the most prolific learners. In-depth coverage of core issues as well as the most current coverage of developing issues reshaping finance today are made clear through the book's reader-friendly approach, timely real business examples, integrated cases, and Excel[registered] spreadsheet models. A comprehensive support package reduces preparation time and offers access to Thomson One-Business School Edition, the same financial online database Wall Street professionals trust every day.","author":[{"dropping-particle":"","family":"Brigham","given":"Eugene F.","non-dropping-particle":"","parse-names":false,"suffix":""},{"dropping-particle":"","family":"Daves","given":"Phillip R.","non-dropping-particle":"","parse-names":false,"suffix":""}],"container-title":"The British Accounting Review","id":"ITEM-1","issue":"3","issued":{"date-parts":[["1989"]]},"number-of-pages":"286-288","title":"Intermediate financial management","type":"book","volume":"21"},"uris":["http://www.mendeley.com/documents/?uuid=4cc47ee1-929f-4eb5-89b9-bb8bf7aa253a"]}],"mendeley":{"formattedCitation":"(27)","plainTextFormattedCitation":"(27)","previouslyFormattedCitation":"(26)"},"properties":{"noteIndex":0},"schema":"https://github.com/citation-style-language/schema/raw/master/csl-citation.json"}</w:instrText>
      </w:r>
      <w:r w:rsidR="00B0273F">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(27)</w:t>
      </w:r>
      <w:r w:rsidR="00B0273F">
        <w:rPr>
          <w:rFonts w:ascii="Times New Roman" w:hAnsi="Times New Roman" w:cs="Times New Roman"/>
          <w:sz w:val="24"/>
          <w:szCs w:val="24"/>
        </w:rPr>
        <w:fldChar w:fldCharType="end"/>
      </w:r>
      <w:r w:rsidR="00B0273F" w:rsidRPr="00BF164D">
        <w:rPr>
          <w:rFonts w:ascii="Times New Roman" w:hAnsi="Times New Roman" w:cs="Times New Roman"/>
          <w:sz w:val="24"/>
          <w:szCs w:val="24"/>
          <w:lang w:val="pt-PT"/>
        </w:rPr>
        <w:t>.</w:t>
      </w:r>
      <w:r w:rsidR="004E53DE" w:rsidRPr="00BF164D">
        <w:rPr>
          <w:rFonts w:ascii="Times New Roman" w:hAnsi="Times New Roman" w:cs="Times New Roman"/>
          <w:sz w:val="24"/>
          <w:szCs w:val="24"/>
          <w:lang w:val="pt-PT"/>
        </w:rPr>
        <w:t xml:space="preserve"> </w:t>
      </w:r>
      <w:r w:rsidRPr="00BF164D">
        <w:rPr>
          <w:rFonts w:ascii="Times New Roman" w:hAnsi="Times New Roman" w:cs="Times New Roman"/>
          <w:sz w:val="24"/>
          <w:szCs w:val="24"/>
          <w:lang w:val="pt-PT"/>
        </w:rPr>
        <w:t xml:space="preserve">Por outro lado, o uso da abordagem APV ignora os custos de falência esperados, o custo mais significativo dos empréstimos, porque pode dar a ideia de que o valor da empresa aumenta à medida que as empresas tomam dinheiro emprestado </w:t>
      </w:r>
      <w:r w:rsidR="00217427">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ISSN":"9780470384640","author":[{"dropping-particle":"","family":"Damodaran","given":"Aswath","non-dropping-particle":"","parse-names":false,"suffix":""}],"id":"ITEM-1","issued":{"date-parts":[["2010"]]},"number-of-pages":"52-67","title":"APPLIED CORPORATE FINANCE","type":"book"},"uris":["http://www.mendeley.com/documents/?uuid=256dc036-6ce0-485e-834f-409940ce23d4"]}],"mendeley":{"formattedCitation":"(24)","plainTextFormattedCitation":"(24)","previouslyFormattedCitation":"(23)"},"properties":{"noteIndex":0},"schema":"https://github.com/citation-style-language/schema/raw/master/csl-citation.json"}</w:instrText>
      </w:r>
      <w:r w:rsidR="00217427">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(24)</w:t>
      </w:r>
      <w:r w:rsidR="00217427">
        <w:rPr>
          <w:rFonts w:ascii="Times New Roman" w:hAnsi="Times New Roman" w:cs="Times New Roman"/>
          <w:sz w:val="24"/>
          <w:szCs w:val="24"/>
        </w:rPr>
        <w:fldChar w:fldCharType="end"/>
      </w:r>
      <w:r w:rsidR="00217427" w:rsidRPr="00BF164D">
        <w:rPr>
          <w:rFonts w:ascii="Times New Roman" w:hAnsi="Times New Roman" w:cs="Times New Roman"/>
          <w:sz w:val="24"/>
          <w:szCs w:val="24"/>
          <w:lang w:val="pt-PT"/>
        </w:rPr>
        <w:t xml:space="preserve">. </w:t>
      </w:r>
      <w:r w:rsidRPr="00BF164D">
        <w:rPr>
          <w:rFonts w:ascii="Times New Roman" w:hAnsi="Times New Roman" w:cs="Times New Roman"/>
          <w:sz w:val="24"/>
          <w:szCs w:val="24"/>
          <w:lang w:val="pt-PT"/>
        </w:rPr>
        <w:t xml:space="preserve">A segunda desvantagem do APV é, de fato, a avaliação do valor do custo de socorro, custos de agência e tributação pessoal. Porque, por exemplo, se não fossem incluídos os custos de aflição e tributação </w:t>
      </w:r>
      <w:r w:rsidRPr="00BF164D">
        <w:rPr>
          <w:rFonts w:ascii="Times New Roman" w:hAnsi="Times New Roman" w:cs="Times New Roman"/>
          <w:sz w:val="24"/>
          <w:szCs w:val="24"/>
          <w:lang w:val="pt-PT"/>
        </w:rPr>
        <w:lastRenderedPageBreak/>
        <w:t xml:space="preserve">pessoal, não impediria os abatimentos fiscais da dívida no imposto de renda da empresa, apresentando-o erroneamente, pois informaria um valor de uma empresa alavancada e com abatimentos fiscais </w:t>
      </w:r>
      <w:r w:rsidR="00BC64A5">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{"citationItems":[{"id":"ITEM-1","itemData":{"DOI":"10.1111/j.1745-6622.2002.tb00344.x","ISSN":"1078-1196","abstract":"There are several conceptually “correct” methods for valuing firms and projects, including the weighted average cost of capital (WACC) approach, the flows to equity (FTE) method, and the adjusted present value (APV) or valuation-by-components method. The author examines the relative advantages of these frameworks and offers guidance as to when they are likely to be most useful. The key message is a caution to would-be users of APV: it is frequently unreliable and should be used only in conjunction with more conventional valuation frameworks. It works best in transactions that involve structured financings, such as leveraged buyouts and project and real estate financings. Even in these cases, however, its usefulness depends on theoretical concepts that in practical applications have a wide margin of error. In general, WACC is a robust and appropriate valuation framework as long as the firm has a target debt ratio. The FTE method is most relevant for acquisitions and very large projects. The author shows how APV and FTE can be formulated to be consistent with the WACC valuation. The issue, however, is not whether the techniques can be made consistent through relatively complex adjustments by sophisticated users, but rather what happens when they are used in everyday applications by practitioners unfamiliar with the somewhat arcane valuation issues involved.","author":[{"dropping-particle":"","family":"Booth","given":"Laurence","non-dropping-particle":"","parse-names":false,"suffix":""}],"container-title":"Journal of Applied Corporate Finance","id":"ITEM-1","issue":"1","issued":{"date-parts":[["2002"]]},"number-of-pages":"95-104","title":"Finding Value Where None Exists: Pitfalls in Using Adjusted Present Value","type":"report","volume":"15"},"uris":["http://www.mendeley.com/documents/?uuid=75f3f857-4ed2-45bc-8998-33b5fdc36dc4"]}],"mendeley":{"formattedCitation":"(28)","plainTextFormattedCitation":"(28)","previouslyFormattedCitation":"(27)"},"properties":{"noteIndex":0},"schema":"https://github.com/citation-style-language/schema/raw/master/csl-citation.json"}</w:instrText>
      </w:r>
      <w:r w:rsidR="00BC64A5">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(28)</w:t>
      </w:r>
      <w:r w:rsidR="00BC64A5">
        <w:rPr>
          <w:rFonts w:ascii="Times New Roman" w:hAnsi="Times New Roman" w:cs="Times New Roman"/>
          <w:sz w:val="24"/>
          <w:szCs w:val="24"/>
        </w:rPr>
        <w:fldChar w:fldCharType="end"/>
      </w:r>
      <w:r w:rsidR="008F25CE" w:rsidRPr="00BF164D">
        <w:rPr>
          <w:rFonts w:ascii="Times New Roman" w:hAnsi="Times New Roman" w:cs="Times New Roman"/>
          <w:sz w:val="24"/>
          <w:szCs w:val="24"/>
          <w:lang w:val="pt-PT"/>
        </w:rPr>
        <w:t>.</w:t>
      </w:r>
      <w:r w:rsidR="004E53DE" w:rsidRPr="00BF164D">
        <w:rPr>
          <w:rFonts w:ascii="Times New Roman" w:hAnsi="Times New Roman" w:cs="Times New Roman"/>
          <w:sz w:val="24"/>
          <w:szCs w:val="24"/>
          <w:lang w:val="pt-PT"/>
        </w:rPr>
        <w:t xml:space="preserve"> </w:t>
      </w:r>
      <w:r w:rsidRPr="00BF164D">
        <w:rPr>
          <w:rFonts w:ascii="Times New Roman" w:hAnsi="Times New Roman" w:cs="Times New Roman"/>
          <w:sz w:val="24"/>
          <w:szCs w:val="24"/>
          <w:lang w:val="pt-PT"/>
        </w:rPr>
        <w:t>A terceira desvantagem do APV é que ele não define o nível de risco, pois calcula todos os retornos regulares ignorando as flutuações no processo de investimento</w:t>
      </w:r>
      <w:r w:rsidR="00217427" w:rsidRPr="00BF164D">
        <w:rPr>
          <w:rFonts w:ascii="Times New Roman" w:hAnsi="Times New Roman" w:cs="Times New Roman"/>
          <w:sz w:val="24"/>
          <w:szCs w:val="24"/>
          <w:lang w:val="pt-PT"/>
        </w:rPr>
        <w:t xml:space="preserve"> </w:t>
      </w:r>
      <w:r w:rsidR="00EC3C4A">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{"citationItems":[{"id":"ITEM-1","itemData":{"DOI":"10.1109/ICBDA51983.2021.9403044","ISBN":"9780738131672","abstract":"Portfolio management is the decision-making process of allocating a certain amount of funds to multiple financial assets and continuously changing the distribution weights to increase returns and reduce risks. With the advance in artificial intelligence technology, it has become possible to use computers for self-learning and large-scale calculations, and to achieve optimized portfolio management. This paper mainly studies and analyzes the problem of portfolio optimization in the digital currency market, uses Poloniex's historical transaction data of digital currency to conduct experiments, and proposes a strategy based on the framework of deep reinforcement learning algorithms. The investment strategy framework uses Convolutional Neural Network and Visual Geometry Group Network. In addition to the closing price, highest price and lowest price, we also consider other internal or external features such as Network Value to Transaction Volume Ratio, Market Value to Realized Value Ratio, Return on Investment and Volatility. The results show that the return rate of our algorithm based on VGG with NVT as feature is 11.05% better than the work of Jiang et al. and at least 110% better than investment strategies such as Moving Average Reversion and Robust Median Reversion.","author":[{"dropping-particle":"","family":"Gu","given":"Fengchen","non-dropping-particle":"","parse-names":false,"suffix":""},{"dropping-particle":"","family":"Jiang","given":"Zhengyong","non-dropping-particle":"","parse-names":false,"suffix":""},{"dropping-particle":"","family":"Su","given":"Jionglong","non-dropping-particle":"","parse-names":false,"suffix":""}],"container-title":"2021 IEEE 6th International Conference on Big Data Analytics, ICBDA 2021","id":"ITEM-1","issued":{"date-parts":[["2021"]]},"number-of-pages":"92-97","title":"Application of Features and Neural Network to Enhance the Performance of Deep Reinforcement Learning in Portfolio Management","type":"report"},"uris":["http://www.mendeley.com/documents/?uuid=7720b91d-a20f-43e0-a639-698f9c49408b"]}],"mendeley":{"formattedCitation":"(29)","plainTextFormattedCitation":"(29)","previouslyFormattedCitation":"(28)"},"properties":{"noteIndex":0},"schema":"https://github.com/citation-style-language/schema/raw/master/csl-citation.json"}</w:instrText>
      </w:r>
      <w:r w:rsidR="00EC3C4A">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rPr>
        <w:t>(29)</w:t>
      </w:r>
      <w:r w:rsidR="00EC3C4A">
        <w:rPr>
          <w:rFonts w:ascii="Times New Roman" w:hAnsi="Times New Roman" w:cs="Times New Roman"/>
          <w:sz w:val="24"/>
          <w:szCs w:val="24"/>
        </w:rPr>
        <w:fldChar w:fldCharType="end"/>
      </w:r>
      <w:r w:rsidR="00EC3C4A">
        <w:rPr>
          <w:rFonts w:ascii="Times New Roman" w:hAnsi="Times New Roman" w:cs="Times New Roman"/>
          <w:sz w:val="24"/>
          <w:szCs w:val="24"/>
        </w:rPr>
        <w:t>.</w:t>
      </w:r>
    </w:p>
    <w:p w14:paraId="3A08EE76" w14:textId="77777777" w:rsidR="00EC3C4A" w:rsidRPr="00EE4592" w:rsidRDefault="00EC3C4A" w:rsidP="00691500">
      <w:pPr>
        <w:spacing w:after="0" w:line="360" w:lineRule="auto"/>
        <w:ind w:left="1134" w:firstLine="709"/>
        <w:jc w:val="both"/>
        <w:rPr>
          <w:rFonts w:ascii="Times New Roman" w:hAnsi="Times New Roman" w:cs="Times New Roman"/>
          <w:color w:val="4472C4" w:themeColor="accent1"/>
          <w:sz w:val="24"/>
          <w:szCs w:val="24"/>
        </w:rPr>
      </w:pPr>
    </w:p>
    <w:p w14:paraId="24E37111" w14:textId="02168676" w:rsidR="00067D02" w:rsidRPr="00BF164D" w:rsidRDefault="00BF164D" w:rsidP="00691500">
      <w:pPr>
        <w:pStyle w:val="Ttulo3"/>
        <w:numPr>
          <w:ilvl w:val="3"/>
          <w:numId w:val="6"/>
        </w:numPr>
        <w:spacing w:before="0" w:line="360" w:lineRule="auto"/>
        <w:ind w:left="1134" w:firstLine="709"/>
        <w:jc w:val="both"/>
        <w:rPr>
          <w:rFonts w:ascii="Times New Roman" w:hAnsi="Times New Roman" w:cs="Times New Roman"/>
          <w:color w:val="000000" w:themeColor="text1"/>
          <w:sz w:val="32"/>
          <w:szCs w:val="32"/>
          <w:lang w:val="pt-PT"/>
        </w:rPr>
      </w:pPr>
      <w:r w:rsidRPr="00BF164D">
        <w:rPr>
          <w:rFonts w:ascii="Times New Roman" w:hAnsi="Times New Roman" w:cs="Times New Roman"/>
          <w:color w:val="000000" w:themeColor="text1"/>
          <w:sz w:val="32"/>
          <w:szCs w:val="32"/>
          <w:lang w:val="pt-PT"/>
        </w:rPr>
        <w:t>Taxa Interna de Retorno</w:t>
      </w:r>
      <w:r w:rsidR="009F3466" w:rsidRPr="00BF164D">
        <w:rPr>
          <w:rFonts w:ascii="Times New Roman" w:hAnsi="Times New Roman" w:cs="Times New Roman"/>
          <w:color w:val="000000" w:themeColor="text1"/>
          <w:sz w:val="32"/>
          <w:szCs w:val="32"/>
          <w:lang w:val="pt-PT"/>
        </w:rPr>
        <w:t xml:space="preserve"> (</w:t>
      </w:r>
      <w:r w:rsidRPr="00BF164D">
        <w:rPr>
          <w:rFonts w:ascii="Times New Roman" w:hAnsi="Times New Roman" w:cs="Times New Roman"/>
          <w:color w:val="000000" w:themeColor="text1"/>
          <w:sz w:val="32"/>
          <w:szCs w:val="32"/>
          <w:lang w:val="pt-PT"/>
        </w:rPr>
        <w:t>T</w:t>
      </w:r>
      <w:r w:rsidR="009F3466" w:rsidRPr="00BF164D">
        <w:rPr>
          <w:rFonts w:ascii="Times New Roman" w:hAnsi="Times New Roman" w:cs="Times New Roman"/>
          <w:color w:val="000000" w:themeColor="text1"/>
          <w:sz w:val="32"/>
          <w:szCs w:val="32"/>
          <w:lang w:val="pt-PT"/>
        </w:rPr>
        <w:t>IR)</w:t>
      </w:r>
      <w:r w:rsidR="00125278" w:rsidRPr="00BF164D">
        <w:rPr>
          <w:rFonts w:ascii="Times New Roman" w:hAnsi="Times New Roman" w:cs="Times New Roman"/>
          <w:color w:val="000000" w:themeColor="text1"/>
          <w:sz w:val="32"/>
          <w:szCs w:val="32"/>
          <w:lang w:val="pt-PT"/>
        </w:rPr>
        <w:t xml:space="preserve"> </w:t>
      </w:r>
    </w:p>
    <w:p w14:paraId="32ED9AF3" w14:textId="77777777" w:rsidR="00963B2A" w:rsidRPr="00BF164D" w:rsidRDefault="00963B2A" w:rsidP="00691500">
      <w:pPr>
        <w:spacing w:after="0" w:line="360" w:lineRule="auto"/>
        <w:ind w:left="1134" w:firstLine="709"/>
        <w:jc w:val="both"/>
        <w:rPr>
          <w:lang w:val="pt-PT"/>
        </w:rPr>
      </w:pPr>
    </w:p>
    <w:p w14:paraId="06C36D2A" w14:textId="5858F07A" w:rsidR="00881558" w:rsidRPr="00BF164D" w:rsidRDefault="00BF164D" w:rsidP="00691500">
      <w:pPr>
        <w:spacing w:after="0" w:line="360" w:lineRule="auto"/>
        <w:ind w:left="1134" w:firstLine="709"/>
        <w:jc w:val="both"/>
        <w:rPr>
          <w:rFonts w:ascii="Times New Roman" w:hAnsi="Times New Roman" w:cs="Times New Roman"/>
          <w:sz w:val="24"/>
          <w:szCs w:val="24"/>
          <w:lang w:val="pt-PT"/>
        </w:rPr>
      </w:pPr>
      <w:r w:rsidRPr="00BF164D">
        <w:rPr>
          <w:rFonts w:ascii="Times New Roman" w:hAnsi="Times New Roman" w:cs="Times New Roman"/>
          <w:sz w:val="24"/>
          <w:szCs w:val="24"/>
          <w:lang w:val="pt-PT"/>
        </w:rPr>
        <w:t xml:space="preserve">Tanto o VPL quanto a TIR são ferramentas convencionais de avaliação de investimentos </w:t>
      </w:r>
      <w:r w:rsidR="005431E8" w:rsidRPr="00AB228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Energy","id":"ITEM-1","issue":"2","issued":{"date-parts":[["2020"]]},"number-of-pages":"339-364","title":"Economic evaluation methodologies for renewable energy projects","type":"report","volume":"8"},"uris":["http://www.mendeley.com/documents/?uuid=1fe5f3e7-b22d-4e41-8980-968b25750983"]}],"mendeley":{"formattedCitation":"(23)","plainTextFormattedCitation":"(23)","previouslyFormattedCitation":"(22)"},"properties":{"noteIndex":0},"schema":"https://github.com/citation-style-language/schema/raw/master/csl-citation.json"}</w:instrText>
      </w:r>
      <w:r w:rsidR="005431E8" w:rsidRPr="00AB228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(23)</w:t>
      </w:r>
      <w:r w:rsidR="005431E8" w:rsidRPr="00AB228B">
        <w:rPr>
          <w:rFonts w:ascii="Times New Roman" w:hAnsi="Times New Roman" w:cs="Times New Roman"/>
          <w:sz w:val="24"/>
          <w:szCs w:val="24"/>
        </w:rPr>
        <w:fldChar w:fldCharType="end"/>
      </w:r>
      <w:r w:rsidR="005431E8" w:rsidRPr="00BF164D">
        <w:rPr>
          <w:rFonts w:ascii="Times New Roman" w:hAnsi="Times New Roman" w:cs="Times New Roman"/>
          <w:sz w:val="24"/>
          <w:szCs w:val="24"/>
          <w:lang w:val="pt-PT"/>
        </w:rPr>
        <w:t xml:space="preserve">. </w:t>
      </w:r>
      <w:r w:rsidRPr="00BF164D">
        <w:rPr>
          <w:rFonts w:ascii="Times New Roman" w:hAnsi="Times New Roman" w:cs="Times New Roman"/>
          <w:sz w:val="24"/>
          <w:szCs w:val="24"/>
          <w:lang w:val="pt-PT"/>
        </w:rPr>
        <w:t xml:space="preserve">A TIR e o </w:t>
      </w:r>
      <w:r>
        <w:rPr>
          <w:rFonts w:ascii="Times New Roman" w:hAnsi="Times New Roman" w:cs="Times New Roman"/>
          <w:sz w:val="24"/>
          <w:szCs w:val="24"/>
          <w:lang w:val="pt-PT"/>
        </w:rPr>
        <w:t>VPL</w:t>
      </w:r>
      <w:r w:rsidRPr="00BF164D">
        <w:rPr>
          <w:rFonts w:ascii="Times New Roman" w:hAnsi="Times New Roman" w:cs="Times New Roman"/>
          <w:sz w:val="24"/>
          <w:szCs w:val="24"/>
          <w:lang w:val="pt-PT"/>
        </w:rPr>
        <w:t xml:space="preserve"> são diretos como uma regra de decisão</w:t>
      </w:r>
      <w:r>
        <w:rPr>
          <w:rFonts w:ascii="Times New Roman" w:hAnsi="Times New Roman" w:cs="Times New Roman"/>
          <w:sz w:val="24"/>
          <w:szCs w:val="24"/>
          <w:lang w:val="pt-PT"/>
        </w:rPr>
        <w:t xml:space="preserve"> </w:t>
      </w:r>
      <w:r w:rsidR="00ED68D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{"citationItems":[{"id":"ITEM-1","itemData":{"DOI":"10.1016/j.rser.2015.01.068","ISSN":"18790690","abstract":"This paper provides a comprehensive review of the current state of the art of the economics and socio-economics of ocean renewable energy (ORE); the many ways in which the viability and impacts of an ORE project are assessed, and an analysis of the current weaknesses, issues or inappropriateness of the metrics and methodologies used in their definition and presentation. The outcomes of this paper are anticipated to benefit the ORE and wider renewable sector as a whole. The review revealed that, for the most part, the current study of economics and socio-economics of ORE remain separate and discrete areas of research. The economic methods utilised appear to be comprehensive but are limited to project (or private investor) level. The methods identified for socioeconomic assessment fall between traditional, and now routine, environmental assessment approaches and more novel holistic approaches such as ecosystem services and life cycle assessment. The novel section of the paper explored the connectivity between the economics and socio-economics of ORE in relation to project developments and policy/planning. A visualisation method was created of concentric rings intersected by related axis of economic, socio-economic and environment, and enabled the examination of the benefits arising from the connectivity between the two spheres. The concept of sustainable development process and the integration of environmental assessment for ORE was also explored and how it responds to differing stakeholder aspirations and interpretations. The analysis revealed that there was a divergence between public and private economic and socioeconomic assessments for ORE: environmental assessment is primarily a public responsibility but with significant inputs from the private developer involved while economic assessments are conducted primarily by the developer and/or investor at their own behest. However, the two spheres of economic and socio-economic for ORE are highly connected and synergistic and must be examined in a holistic manner.","author":[{"dropping-particle":"","family":"Dalton","given":"Gordon","non-dropping-particle":"","parse-names":false,"suffix":""},{"dropping-particle":"","family":"Allan","given":"Grant","non-dropping-particle":"","parse-names":false,"suffix":""},{"dropping-particle":"","family":"Beaumont","given":"Nicola","non-dropping-particle":"","parse-names":false,"suffix":""},{"dropping-particle":"","family":"Georgakaki","given":"Aliki","non-dropping-particle":"","parse-names":false,"suffix":""},{"dropping-particle":"","family":"Hacking","given":"Nick","non-dropping-particle":"","parse-names":false,"suffix":""},{"dropping-particle":"","family":"Hooper","given":"Tara","non-dropping-particle":"","parse-names":false,"suffix":""},{"dropping-particle":"","family":"Kerr","given":"Sandy","non-dropping-particle":"","parse-names":false,"suffix":""},{"dropping-particle":"","family":"O'Hagan","given":"Anne Marie","non-dropping-particle":"","parse-names":false,"suffix":""},{"dropping-particle":"","family":"Reilly","given":"Kieran","non-dropping-particle":"","parse-names":false,"suffix":""},{"dropping-particle":"","family":"Ricci","given":"Pierpaolo","non-dropping-particle":"","parse-names":false,"suffix":""},{"dropping-particle":"","family":"Sheng","given":"Wanan","non-dropping-particle":"","parse-names":false,"suffix":""},{"dropping-particle":"","family":"Stallard","given":"Tim","non-dropping-particle":"","parse-names":false,"suffix":""}],"container-title":"Renewable and Sustainable Energy Reviews","id":"ITEM-1","issued":{"date-parts":[["2015"]]},"page":"850-878","publisher":"Elsevier","title":"Economic and socio-economic assessment methods for ocean renewable energy: Public and private perspectives","type":"article-journal","volume":"45"},"uris":["http://www.mendeley.com/documents/?uuid=39a89efa-652d-4e83-bccb-51f611f5144e"]}],"mendeley":{"formattedCitation":"(15)","plainTextFormattedCitation":"(15)","previouslyFormattedCitation":"(14)"},"properties":{"noteIndex":0},"schema":"https://github.com/citation-style-language/schema/raw/master/csl-citation.json"}</w:instrText>
      </w:r>
      <w:r w:rsidR="00ED68D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(15)</w:t>
      </w:r>
      <w:r w:rsidR="00ED68DB">
        <w:rPr>
          <w:rFonts w:ascii="Times New Roman" w:hAnsi="Times New Roman" w:cs="Times New Roman"/>
          <w:sz w:val="24"/>
          <w:szCs w:val="24"/>
        </w:rPr>
        <w:fldChar w:fldCharType="end"/>
      </w:r>
      <w:r w:rsidR="00ED68DB" w:rsidRPr="00BF164D">
        <w:rPr>
          <w:rFonts w:ascii="Times New Roman" w:hAnsi="Times New Roman" w:cs="Times New Roman"/>
          <w:sz w:val="24"/>
          <w:szCs w:val="24"/>
          <w:lang w:val="pt-PT"/>
        </w:rPr>
        <w:t xml:space="preserve">. </w:t>
      </w:r>
      <w:r w:rsidRPr="00BF164D">
        <w:rPr>
          <w:rFonts w:ascii="Times New Roman" w:hAnsi="Times New Roman" w:cs="Times New Roman"/>
          <w:sz w:val="24"/>
          <w:szCs w:val="24"/>
          <w:lang w:val="pt-PT"/>
        </w:rPr>
        <w:t>Ambos são indicadores financeiros muito próximos pois a TIR é a taxa de desconto que iguala o VPL a zero, ou seja, a TIR é a taxa de retorno exigida pelo investidor e como taxa de desconto resulta no VPL a zero</w:t>
      </w:r>
      <w:r>
        <w:rPr>
          <w:rFonts w:ascii="Times New Roman" w:hAnsi="Times New Roman" w:cs="Times New Roman"/>
          <w:sz w:val="24"/>
          <w:szCs w:val="24"/>
          <w:lang w:val="pt-PT"/>
        </w:rPr>
        <w:t xml:space="preserve"> </w:t>
      </w:r>
      <w:r w:rsidR="00881558" w:rsidRPr="00AB228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{"citationItems":[{"id":"ITEM-1","itemData":{"author":[{"dropping-particle":"","family":"Ross, Stephen A.;Westerfield, Randolph W.;Jordan","given":"Bradford D.","non-dropping-particle":"","parse-names":false,"suffix":""}],"edition":"2a Edition","id":"ITEM-1","issued":{"date-parts":[["2002"]]},"publisher":"Atlas","title":"Princípios de Administração Financeira","type":"book"},"uris":["http://www.mendeley.com/documents/?uuid=d906dcd7-5a0e-4838-9aea-6a7bd539a05a"]}],"mendeley":{"formattedCitation":"(19)","plainTextFormattedCitation":"(19)","previouslyFormattedCitation":"(18)"},"properties":{"noteIndex":0},"schema":"https://github.com/citation-style-language/schema/raw/master/csl-citation.json"}</w:instrText>
      </w:r>
      <w:r w:rsidR="00881558" w:rsidRPr="00AB228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(19)</w:t>
      </w:r>
      <w:r w:rsidR="00881558" w:rsidRPr="00AB228B">
        <w:rPr>
          <w:rFonts w:ascii="Times New Roman" w:hAnsi="Times New Roman" w:cs="Times New Roman"/>
          <w:sz w:val="24"/>
          <w:szCs w:val="24"/>
        </w:rPr>
        <w:fldChar w:fldCharType="end"/>
      </w:r>
      <w:r w:rsidRPr="00BF164D">
        <w:rPr>
          <w:rFonts w:ascii="Times New Roman" w:hAnsi="Times New Roman" w:cs="Times New Roman"/>
          <w:sz w:val="24"/>
          <w:szCs w:val="24"/>
          <w:lang w:val="pt-PT"/>
        </w:rPr>
        <w:t>.</w:t>
      </w:r>
    </w:p>
    <w:p w14:paraId="2EF654B6" w14:textId="6527A932" w:rsidR="00067D02" w:rsidRPr="00BF164D" w:rsidRDefault="00BF164D" w:rsidP="00691500">
      <w:pPr>
        <w:spacing w:after="0" w:line="360" w:lineRule="auto"/>
        <w:ind w:left="1134" w:firstLine="709"/>
        <w:jc w:val="both"/>
        <w:rPr>
          <w:rFonts w:ascii="Times New Roman" w:hAnsi="Times New Roman" w:cs="Times New Roman"/>
          <w:sz w:val="24"/>
          <w:szCs w:val="24"/>
          <w:lang w:val="pt-PT"/>
        </w:rPr>
      </w:pPr>
      <w:r w:rsidRPr="00BF164D">
        <w:rPr>
          <w:rFonts w:ascii="Times New Roman" w:hAnsi="Times New Roman" w:cs="Times New Roman"/>
          <w:sz w:val="24"/>
          <w:szCs w:val="24"/>
          <w:lang w:val="pt-PT"/>
        </w:rPr>
        <w:t>Pela regra geral de decisões considerando a TIR quando esta for maior que a taxa mínima de atratividade (</w:t>
      </w:r>
      <w:r>
        <w:rPr>
          <w:rFonts w:ascii="Times New Roman" w:hAnsi="Times New Roman" w:cs="Times New Roman"/>
          <w:sz w:val="24"/>
          <w:szCs w:val="24"/>
          <w:lang w:val="pt-PT"/>
        </w:rPr>
        <w:t>TMA</w:t>
      </w:r>
      <w:r w:rsidRPr="00BF164D">
        <w:rPr>
          <w:rFonts w:ascii="Times New Roman" w:hAnsi="Times New Roman" w:cs="Times New Roman"/>
          <w:sz w:val="24"/>
          <w:szCs w:val="24"/>
          <w:lang w:val="pt-PT"/>
        </w:rPr>
        <w:t xml:space="preserve">) o projeto é aceito, caso contrário é rejeitado. Isso acontece porque se houver uma </w:t>
      </w:r>
      <w:r>
        <w:rPr>
          <w:rFonts w:ascii="Times New Roman" w:hAnsi="Times New Roman" w:cs="Times New Roman"/>
          <w:sz w:val="24"/>
          <w:szCs w:val="24"/>
          <w:lang w:val="pt-PT"/>
        </w:rPr>
        <w:t>TMA</w:t>
      </w:r>
      <w:r w:rsidRPr="00BF164D">
        <w:rPr>
          <w:rFonts w:ascii="Times New Roman" w:hAnsi="Times New Roman" w:cs="Times New Roman"/>
          <w:sz w:val="24"/>
          <w:szCs w:val="24"/>
          <w:lang w:val="pt-PT"/>
        </w:rPr>
        <w:t xml:space="preserve"> maior que a TIR, o VPL ficará negativo, pois se a TIR for a taxa que iguala o VPL a zero, uma taxa maior que a TIR torna o VPL negativo</w:t>
      </w:r>
      <w:r w:rsidR="007B2C57" w:rsidRPr="00BF164D">
        <w:rPr>
          <w:rFonts w:ascii="Times New Roman" w:hAnsi="Times New Roman" w:cs="Times New Roman"/>
          <w:sz w:val="24"/>
          <w:szCs w:val="24"/>
          <w:lang w:val="pt-PT"/>
        </w:rPr>
        <w:t xml:space="preserve"> </w:t>
      </w:r>
      <w:r w:rsidR="007B2C57" w:rsidRPr="00AB228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Energy","id":"ITEM-1","issue":"2","issued":{"date-parts":[["2020"]]},"number-of-pages":"339-364","title":"Economic evaluation methodologies for renewable energy projects","type":"report","volume":"8"},"uris":["http://www.mendeley.com/documents/?uuid=1fe5f3e7-b22d-4e41-8980-968b25750983"]}],"mendeley":{"formattedCitation":"(23)","plainTextFormattedCitation":"(23)","previouslyFormattedCitation":"(22)"},"properties":{"noteIndex":0},"schema":"https://github.com/citation-style-language/schema/raw/master/csl-citation.json"}</w:instrText>
      </w:r>
      <w:r w:rsidR="007B2C57" w:rsidRPr="00AB228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(23)</w:t>
      </w:r>
      <w:r w:rsidR="007B2C57" w:rsidRPr="00AB228B">
        <w:rPr>
          <w:rFonts w:ascii="Times New Roman" w:hAnsi="Times New Roman" w:cs="Times New Roman"/>
          <w:sz w:val="24"/>
          <w:szCs w:val="24"/>
        </w:rPr>
        <w:fldChar w:fldCharType="end"/>
      </w:r>
      <w:r w:rsidR="009A1FE8" w:rsidRPr="00BF164D">
        <w:rPr>
          <w:rFonts w:ascii="Times New Roman" w:hAnsi="Times New Roman" w:cs="Times New Roman"/>
          <w:sz w:val="24"/>
          <w:szCs w:val="24"/>
          <w:lang w:val="pt-PT"/>
        </w:rPr>
        <w:t xml:space="preserve">. </w:t>
      </w:r>
      <w:r w:rsidRPr="00BF164D">
        <w:rPr>
          <w:rFonts w:ascii="Times New Roman" w:hAnsi="Times New Roman" w:cs="Times New Roman"/>
          <w:sz w:val="24"/>
          <w:szCs w:val="24"/>
          <w:lang w:val="pt-PT"/>
        </w:rPr>
        <w:t>Enquanto o VPL representa a lucratividade do projeto em valores monetários absolutos, a TIR revela a lucratividade esperada de um projeto em porcentagem</w:t>
      </w:r>
      <w:r w:rsidR="004D087E" w:rsidRPr="00BF164D">
        <w:rPr>
          <w:rFonts w:ascii="Times New Roman" w:hAnsi="Times New Roman" w:cs="Times New Roman"/>
          <w:sz w:val="24"/>
          <w:szCs w:val="24"/>
          <w:lang w:val="pt-PT"/>
        </w:rPr>
        <w:t xml:space="preserve">. </w:t>
      </w:r>
      <w:r w:rsidR="00FB2873" w:rsidRPr="00AB228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{"citationItems":[{"id":"ITEM-1","itemData":{"DOI":"10.1016/j.energy.2016.12.093","ISSN":"03605442","abstract":"Numerous exhaustive analyses of the economic assessment of conventional PV systems are available in the literature. However, there is a lack of these studies concerning High Concentrator Photovoltaic (HCPV) technology. Besides, future owners and potential investors on HCPV plant demand information relating to the economic feasibility of their investment. In this work the profitability and competitiveness of HCPV plants in several countries are analysed. To analyse the profitability the internal rate of return (IRR) criterion has been used, while the competitiveness has been analysed based on estimating the so-called HCPV generation parity. As a result of the economic profitability analysis conducted the group of countries where the investment in HCPV could be interesting has been identified. The results obtained could be also useful for researchers to identify the weaknesses of the HCPV technology and take actions at making it more competitive. From the competitiveness analysis carried out in several Eurozone countries and USA for two possible scenarios 2015 and 2020, the results show that HCPV could be competitive in some locations in 2020. Therefore, government organizations of the studied countries, which participate in the design or the selection of support mechanisms for HCPV, can be guided by the results obtained.","author":[{"dropping-particle":"","family":"Talavera","given":"D. L.","non-dropping-particle":"","parse-names":false,"suffix":""},{"dropping-particle":"","family":"Pérez-Higueras","given":"P.","non-dropping-particle":"","parse-names":false,"suffix":""},{"dropping-particle":"","family":"Almonacid","given":"F.","non-dropping-particle":"","parse-names":false,"suffix":""},{"dropping-particle":"","family":"Fernández","given":"E. F.","non-dropping-particle":"","parse-names":false,"suffix":""}],"container-title":"Energy","id":"ITEM-1","issued":{"date-parts":[["2017"]]},"number-of-pages":"408-424","title":"A worldwide assessment of economic feasibility of HCPV power plants: Profitability and competitiveness","type":"report","volume":"119"},"uris":["http://www.mendeley.com/documents/?uuid=3600516e-99a0-4de6-bdf8-04a80df55a13"]}],"mendeley":{"formattedCitation":"(30)","plainTextFormattedCitation":"(30)","previouslyFormattedCitation":"(29)"},"properties":{"noteIndex":0},"schema":"https://github.com/citation-style-language/schema/raw/master/csl-citation.json"}</w:instrText>
      </w:r>
      <w:r w:rsidR="00FB2873" w:rsidRPr="00AB228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(30)</w:t>
      </w:r>
      <w:r w:rsidR="00FB2873" w:rsidRPr="00AB228B">
        <w:rPr>
          <w:rFonts w:ascii="Times New Roman" w:hAnsi="Times New Roman" w:cs="Times New Roman"/>
          <w:sz w:val="24"/>
          <w:szCs w:val="24"/>
        </w:rPr>
        <w:fldChar w:fldCharType="end"/>
      </w:r>
      <w:r w:rsidR="00067D02" w:rsidRPr="00AB0CA9">
        <w:rPr>
          <w:rFonts w:ascii="Times New Roman" w:hAnsi="Times New Roman" w:cs="Times New Roman"/>
          <w:sz w:val="24"/>
          <w:szCs w:val="24"/>
          <w:lang w:val="pt-PT"/>
        </w:rPr>
        <w:t>.</w:t>
      </w:r>
      <w:r w:rsidR="003368DB" w:rsidRPr="00AB0CA9">
        <w:rPr>
          <w:rFonts w:ascii="Times New Roman" w:hAnsi="Times New Roman" w:cs="Times New Roman"/>
          <w:sz w:val="24"/>
          <w:szCs w:val="24"/>
          <w:lang w:val="pt-PT"/>
        </w:rPr>
        <w:t xml:space="preserve"> </w:t>
      </w:r>
      <w:r w:rsidRPr="00BF164D">
        <w:rPr>
          <w:rFonts w:ascii="Times New Roman" w:hAnsi="Times New Roman" w:cs="Times New Roman"/>
          <w:sz w:val="24"/>
          <w:szCs w:val="24"/>
          <w:lang w:val="pt-PT"/>
        </w:rPr>
        <w:t>O cálculo da TIR é determinado de acordo com a equação</w:t>
      </w:r>
      <w:r w:rsidR="008461F0" w:rsidRPr="00BF164D">
        <w:rPr>
          <w:rFonts w:ascii="Times New Roman" w:hAnsi="Times New Roman" w:cs="Times New Roman"/>
          <w:sz w:val="24"/>
          <w:szCs w:val="24"/>
          <w:lang w:val="pt-PT"/>
        </w:rPr>
        <w:t xml:space="preserve"> 4,</w:t>
      </w:r>
    </w:p>
    <w:p w14:paraId="455F0196" w14:textId="77777777" w:rsidR="00CB2F98" w:rsidRPr="00BF164D" w:rsidRDefault="00CB2F98" w:rsidP="00691500">
      <w:pPr>
        <w:spacing w:after="0" w:line="360" w:lineRule="auto"/>
        <w:ind w:left="1134" w:firstLine="709"/>
        <w:jc w:val="both"/>
        <w:rPr>
          <w:rFonts w:ascii="Times New Roman" w:hAnsi="Times New Roman" w:cs="Times New Roman"/>
          <w:sz w:val="24"/>
          <w:szCs w:val="24"/>
          <w:lang w:val="pt-PT"/>
        </w:rPr>
      </w:pPr>
    </w:p>
    <w:p w14:paraId="3C5BF868" w14:textId="0C0A907C" w:rsidR="00D673B8" w:rsidRPr="00BF164D" w:rsidRDefault="00BF164D" w:rsidP="00691500">
      <w:pPr>
        <w:spacing w:after="0" w:line="360" w:lineRule="auto"/>
        <w:ind w:left="1134"/>
        <w:jc w:val="both"/>
        <w:rPr>
          <w:rFonts w:ascii="Times New Roman" w:hAnsi="Times New Roman" w:cs="Times New Roman"/>
          <w:sz w:val="24"/>
          <w:szCs w:val="24"/>
          <w:lang w:val="pt-PT"/>
        </w:rPr>
      </w:pPr>
      <w:r>
        <w:rPr>
          <w:rFonts w:ascii="Times New Roman" w:hAnsi="Times New Roman" w:cs="Times New Roman"/>
          <w:sz w:val="24"/>
          <w:szCs w:val="24"/>
          <w:lang w:val="pt-PT"/>
        </w:rPr>
        <w:t>T</w:t>
      </w:r>
      <w:r w:rsidR="00D673B8" w:rsidRPr="00BF164D">
        <w:rPr>
          <w:rFonts w:ascii="Times New Roman" w:hAnsi="Times New Roman" w:cs="Times New Roman"/>
          <w:sz w:val="24"/>
          <w:szCs w:val="24"/>
          <w:lang w:val="pt-PT"/>
        </w:rPr>
        <w:t>IR =</w:t>
      </w:r>
      <w:r w:rsidR="0036362D" w:rsidRPr="00BF164D">
        <w:rPr>
          <w:rFonts w:ascii="Times New Roman" w:hAnsi="Times New Roman" w:cs="Times New Roman"/>
          <w:sz w:val="24"/>
          <w:szCs w:val="24"/>
          <w:lang w:val="pt-PT"/>
        </w:rPr>
        <w:t xml:space="preserve">&gt; </w:t>
      </w:r>
      <w:r w:rsidRPr="00BF164D">
        <w:rPr>
          <w:rFonts w:ascii="Times New Roman" w:hAnsi="Times New Roman" w:cs="Times New Roman"/>
          <w:sz w:val="24"/>
          <w:szCs w:val="24"/>
          <w:lang w:val="pt-PT"/>
        </w:rPr>
        <w:t>VPL</w:t>
      </w:r>
      <w:r w:rsidR="0036362D" w:rsidRPr="00BF164D">
        <w:rPr>
          <w:rFonts w:ascii="Times New Roman" w:hAnsi="Times New Roman" w:cs="Times New Roman"/>
          <w:sz w:val="24"/>
          <w:szCs w:val="24"/>
          <w:lang w:val="pt-PT"/>
        </w:rPr>
        <w:t xml:space="preserve"> = - </w:t>
      </w:r>
      <w:r w:rsidR="0036362D" w:rsidRPr="00BF164D">
        <w:rPr>
          <w:rFonts w:ascii="Times New Roman" w:hAnsi="Times New Roman" w:cs="Times New Roman"/>
          <w:sz w:val="36"/>
          <w:szCs w:val="36"/>
          <w:lang w:val="pt-PT"/>
        </w:rPr>
        <w:t>I+</w:t>
      </w:r>
      <m:oMath>
        <m:nary>
          <m:naryPr>
            <m:chr m:val="∑"/>
            <m:limLoc m:val="undOvr"/>
            <m:ctrlPr>
              <w:rPr>
                <w:rFonts w:ascii="Cambria Math" w:hAnsi="Cambria Math" w:cs="Times New Roman"/>
                <w:i/>
                <w:sz w:val="36"/>
                <w:szCs w:val="36"/>
              </w:rPr>
            </m:ctrlPr>
          </m:naryPr>
          <m:sub>
            <m:r>
              <w:rPr>
                <w:rFonts w:ascii="Cambria Math" w:hAnsi="Cambria Math" w:cs="Times New Roman"/>
                <w:sz w:val="36"/>
                <w:szCs w:val="36"/>
              </w:rPr>
              <m:t>t</m:t>
            </m:r>
            <m:r>
              <w:rPr>
                <w:rFonts w:ascii="Cambria Math" w:hAnsi="Cambria Math" w:cs="Times New Roman"/>
                <w:sz w:val="36"/>
                <w:szCs w:val="36"/>
                <w:lang w:val="pt-PT"/>
              </w:rPr>
              <m:t>=1</m:t>
            </m:r>
          </m:sub>
          <m:sup>
            <m:r>
              <w:rPr>
                <w:rFonts w:ascii="Cambria Math" w:hAnsi="Cambria Math" w:cs="Times New Roman"/>
                <w:sz w:val="36"/>
                <w:szCs w:val="36"/>
              </w:rPr>
              <m:t>n</m:t>
            </m:r>
          </m:sup>
          <m:e>
            <m:f>
              <m:fPr>
                <m:ctrlPr>
                  <w:rPr>
                    <w:rFonts w:ascii="Cambria Math" w:hAnsi="Cambria Math" w:cs="Times New Roman"/>
                    <w:i/>
                    <w:sz w:val="36"/>
                    <w:szCs w:val="36"/>
                  </w:rPr>
                </m:ctrlPr>
              </m:fPr>
              <m:num>
                <m:sSub>
                  <m:sSubPr>
                    <m:ctrlPr>
                      <w:rPr>
                        <w:rFonts w:ascii="Cambria Math" w:hAnsi="Cambria Math" w:cs="Times New Roman"/>
                        <w:i/>
                        <w:sz w:val="36"/>
                        <w:szCs w:val="36"/>
                      </w:rPr>
                    </m:ctrlPr>
                  </m:sSubPr>
                  <m:e>
                    <m:r>
                      <w:rPr>
                        <w:rFonts w:ascii="Cambria Math" w:hAnsi="Cambria Math" w:cs="Times New Roman"/>
                        <w:sz w:val="36"/>
                        <w:szCs w:val="36"/>
                      </w:rPr>
                      <m:t>FC</m:t>
                    </m:r>
                  </m:e>
                  <m:sub>
                    <m:r>
                      <w:rPr>
                        <w:rFonts w:ascii="Cambria Math" w:hAnsi="Cambria Math" w:cs="Times New Roman"/>
                        <w:sz w:val="36"/>
                        <w:szCs w:val="36"/>
                      </w:rPr>
                      <m:t>t</m:t>
                    </m:r>
                  </m:sub>
                </m:sSub>
              </m:num>
              <m:den>
                <m:sSup>
                  <m:sSupPr>
                    <m:ctrlPr>
                      <w:rPr>
                        <w:rFonts w:ascii="Cambria Math" w:hAnsi="Cambria Math" w:cs="Times New Roman"/>
                        <w:i/>
                        <w:sz w:val="36"/>
                        <w:szCs w:val="36"/>
                      </w:rPr>
                    </m:ctrlPr>
                  </m:sSupPr>
                  <m:e>
                    <m:r>
                      <w:rPr>
                        <w:rFonts w:ascii="Cambria Math" w:hAnsi="Cambria Math" w:cs="Times New Roman"/>
                        <w:sz w:val="36"/>
                        <w:szCs w:val="36"/>
                        <w:lang w:val="pt-PT"/>
                      </w:rPr>
                      <m:t>(1+</m:t>
                    </m:r>
                    <m:r>
                      <w:rPr>
                        <w:rFonts w:ascii="Cambria Math" w:hAnsi="Cambria Math" w:cs="Times New Roman"/>
                        <w:sz w:val="36"/>
                        <w:szCs w:val="36"/>
                      </w:rPr>
                      <m:t>TIR</m:t>
                    </m:r>
                    <m:r>
                      <w:rPr>
                        <w:rFonts w:ascii="Cambria Math" w:hAnsi="Cambria Math" w:cs="Times New Roman"/>
                        <w:sz w:val="36"/>
                        <w:szCs w:val="36"/>
                        <w:lang w:val="pt-PT"/>
                      </w:rPr>
                      <m:t>)</m:t>
                    </m:r>
                  </m:e>
                  <m:sup>
                    <m:r>
                      <w:rPr>
                        <w:rFonts w:ascii="Cambria Math" w:hAnsi="Cambria Math" w:cs="Times New Roman"/>
                        <w:sz w:val="36"/>
                        <w:szCs w:val="36"/>
                      </w:rPr>
                      <m:t>t</m:t>
                    </m:r>
                  </m:sup>
                </m:sSup>
                <m:r>
                  <w:rPr>
                    <w:rFonts w:ascii="Cambria Math" w:hAnsi="Cambria Math" w:cs="Times New Roman"/>
                    <w:sz w:val="36"/>
                    <w:szCs w:val="36"/>
                    <w:lang w:val="pt-PT"/>
                  </w:rPr>
                  <m:t>)</m:t>
                </m:r>
              </m:den>
            </m:f>
          </m:e>
        </m:nary>
      </m:oMath>
      <w:r w:rsidR="0036362D" w:rsidRPr="00BF164D">
        <w:rPr>
          <w:rFonts w:ascii="Times New Roman" w:hAnsi="Times New Roman" w:cs="Times New Roman"/>
          <w:sz w:val="24"/>
          <w:szCs w:val="24"/>
          <w:lang w:val="pt-PT"/>
        </w:rPr>
        <w:t xml:space="preserve"> </w:t>
      </w:r>
      <w:r w:rsidR="00D673B8" w:rsidRPr="00BF164D">
        <w:rPr>
          <w:rFonts w:ascii="Times New Roman" w:hAnsi="Times New Roman" w:cs="Times New Roman"/>
          <w:sz w:val="24"/>
          <w:szCs w:val="24"/>
          <w:lang w:val="pt-PT"/>
        </w:rPr>
        <w:t xml:space="preserve"> </w:t>
      </w:r>
      <w:r w:rsidR="0036362D" w:rsidRPr="00BF164D">
        <w:rPr>
          <w:rFonts w:ascii="Times New Roman" w:hAnsi="Times New Roman" w:cs="Times New Roman"/>
          <w:sz w:val="24"/>
          <w:szCs w:val="24"/>
          <w:lang w:val="pt-PT"/>
        </w:rPr>
        <w:t>= 0</w:t>
      </w:r>
      <w:r w:rsidR="00AB228B" w:rsidRPr="00BF164D">
        <w:rPr>
          <w:rFonts w:ascii="Times New Roman" w:hAnsi="Times New Roman" w:cs="Times New Roman"/>
          <w:sz w:val="24"/>
          <w:szCs w:val="24"/>
          <w:lang w:val="pt-PT"/>
        </w:rPr>
        <w:t xml:space="preserve">       </w:t>
      </w:r>
      <w:r w:rsidR="0036362D" w:rsidRPr="00BF164D">
        <w:rPr>
          <w:rFonts w:ascii="Times New Roman" w:hAnsi="Times New Roman" w:cs="Times New Roman"/>
          <w:sz w:val="24"/>
          <w:szCs w:val="24"/>
          <w:lang w:val="pt-PT"/>
        </w:rPr>
        <w:t xml:space="preserve"> </w:t>
      </w:r>
      <w:r w:rsidR="00D673B8" w:rsidRPr="00BF164D">
        <w:rPr>
          <w:rFonts w:ascii="Times New Roman" w:hAnsi="Times New Roman" w:cs="Times New Roman"/>
          <w:sz w:val="24"/>
          <w:szCs w:val="24"/>
          <w:lang w:val="pt-PT"/>
        </w:rPr>
        <w:t>(2)</w:t>
      </w:r>
      <w:r w:rsidR="002227A2" w:rsidRPr="00BF164D">
        <w:rPr>
          <w:rFonts w:ascii="Times New Roman" w:hAnsi="Times New Roman" w:cs="Times New Roman"/>
          <w:sz w:val="24"/>
          <w:szCs w:val="24"/>
          <w:lang w:val="pt-PT"/>
        </w:rPr>
        <w:t xml:space="preserve"> </w:t>
      </w:r>
      <w:r w:rsidR="00D524DC" w:rsidRPr="00AB228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{"citationItems":[{"id":"ITEM-1","itemData":{"DOI":"10.1016/j.renene.2014.01.038","ISSN":"09601481","abstract":"Several methods can be employed to evaluate investment in energy production. On one hand, traditional methods (Net Present Value (NPV) or Internal Rate of Return (IRR), for example) ignore certain project characteristics that may influence its evaluation, such as irreversibility, uncertainty and management flexibility. Nevertheless, the Real Option Approach (ROA) has an advantage over the application of traditional methods, since the prior uncertainties are taken into account. Thus, the main objective of this study is to apply ROA to a case-study (mini-hydro plant) through the use of the binomial tree developed by Cox, Ross and Rubinstein in 1979. This study concludes that the value of ROA is higher than the value of NPV because the investor can get better information and uncertainty is reduced when he has the option to defer the investment. In addition to providing a deep analysis on the major gaps in energy investment evaluation, this work contributes to a better understanding of the usefulness of ROA. © 2014 Elsevier Ltd.","author":[{"dropping-particle":"","family":"Santos","given":"Lúcia","non-dropping-particle":"","parse-names":false,"suffix":""},{"dropping-particle":"","family":"Soares","given":"Isabel","non-dropping-particle":"","parse-names":false,"suffix":""},{"dropping-particle":"","family":"Mendes","given":"Carla","non-dropping-particle":"","parse-names":false,"suffix":""},{"dropping-particle":"","family":"Ferreira","given":"Paula","non-dropping-particle":"","parse-names":false,"suffix":""}],"container-title":"Renewable Energy","id":"ITEM-1","issued":{"date-parts":[["2014"]]},"page":"588-594","publisher":"Elsevier Ltd","title":"Real Options versus Traditional Methods to assess Renewable Energy Projects","type":"article-journal","volume":"68"},"uris":["http://www.mendeley.com/documents/?uuid=f9da8d5d-d12d-4a65-82dd-22b66ec8e351"]}],"mendeley":{"formattedCitation":"(14)","plainTextFormattedCitation":"(14)","previouslyFormattedCitation":"(13)"},"properties":{"noteIndex":0},"schema":"https://github.com/citation-style-language/schema/raw/master/csl-citation.json"}</w:instrText>
      </w:r>
      <w:r w:rsidR="00D524DC" w:rsidRPr="00AB228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(14)</w:t>
      </w:r>
      <w:r w:rsidR="00D524DC" w:rsidRPr="00AB228B">
        <w:rPr>
          <w:rFonts w:ascii="Times New Roman" w:hAnsi="Times New Roman" w:cs="Times New Roman"/>
          <w:sz w:val="24"/>
          <w:szCs w:val="24"/>
        </w:rPr>
        <w:fldChar w:fldCharType="end"/>
      </w:r>
      <w:r w:rsidR="00E80AD9" w:rsidRPr="00BF164D">
        <w:rPr>
          <w:rFonts w:ascii="Times New Roman" w:hAnsi="Times New Roman" w:cs="Times New Roman"/>
          <w:sz w:val="24"/>
          <w:szCs w:val="24"/>
          <w:lang w:val="pt-PT"/>
        </w:rPr>
        <w:t xml:space="preserve">                     (equa</w:t>
      </w:r>
      <w:r w:rsidRPr="00BF164D">
        <w:rPr>
          <w:rFonts w:ascii="Times New Roman" w:hAnsi="Times New Roman" w:cs="Times New Roman"/>
          <w:sz w:val="24"/>
          <w:szCs w:val="24"/>
          <w:lang w:val="pt-PT"/>
        </w:rPr>
        <w:t>ção</w:t>
      </w:r>
      <w:r>
        <w:rPr>
          <w:rFonts w:ascii="Times New Roman" w:hAnsi="Times New Roman" w:cs="Times New Roman"/>
          <w:sz w:val="24"/>
          <w:szCs w:val="24"/>
          <w:lang w:val="pt-PT"/>
        </w:rPr>
        <w:t xml:space="preserve"> </w:t>
      </w:r>
      <w:r w:rsidR="00E80AD9" w:rsidRPr="00BF164D">
        <w:rPr>
          <w:rFonts w:ascii="Times New Roman" w:hAnsi="Times New Roman" w:cs="Times New Roman"/>
          <w:sz w:val="24"/>
          <w:szCs w:val="24"/>
          <w:lang w:val="pt-PT"/>
        </w:rPr>
        <w:t>4)</w:t>
      </w:r>
    </w:p>
    <w:p w14:paraId="57ADF6A8" w14:textId="77777777" w:rsidR="004D087E" w:rsidRPr="00BF164D" w:rsidRDefault="004D087E" w:rsidP="00691500">
      <w:pPr>
        <w:spacing w:after="0" w:line="360" w:lineRule="auto"/>
        <w:ind w:left="1134" w:firstLine="709"/>
        <w:jc w:val="both"/>
        <w:rPr>
          <w:rFonts w:ascii="Times New Roman" w:hAnsi="Times New Roman" w:cs="Times New Roman"/>
          <w:sz w:val="24"/>
          <w:szCs w:val="24"/>
          <w:lang w:val="pt-PT"/>
        </w:rPr>
      </w:pPr>
    </w:p>
    <w:p w14:paraId="54469788" w14:textId="46E03733" w:rsidR="007B2C57" w:rsidRPr="00BF164D" w:rsidRDefault="00BF164D" w:rsidP="00691500">
      <w:pPr>
        <w:spacing w:after="0" w:line="360" w:lineRule="auto"/>
        <w:ind w:left="1134" w:firstLine="709"/>
        <w:jc w:val="both"/>
        <w:rPr>
          <w:rFonts w:ascii="Times New Roman" w:hAnsi="Times New Roman" w:cs="Times New Roman"/>
          <w:sz w:val="24"/>
          <w:szCs w:val="24"/>
          <w:lang w:val="pt-PT"/>
        </w:rPr>
      </w:pPr>
      <w:r w:rsidRPr="00BF164D">
        <w:rPr>
          <w:rFonts w:ascii="Times New Roman" w:hAnsi="Times New Roman" w:cs="Times New Roman"/>
          <w:sz w:val="24"/>
          <w:szCs w:val="24"/>
          <w:lang w:val="pt-PT"/>
        </w:rPr>
        <w:t>No entanto, aponta inconvenientes associados ao cálculo tradicional da TIR. As principais desvantagens da TIR são quando ela gera um problema de escala, não é possível comparar projetos de investimento com escalas diferentes e quando possui fluxos de caixa não convencionais ao longo da vida do investimento com múltiplas taxas de retorno (positivas e negativas). E assim como o VPL, segundo</w:t>
      </w:r>
      <w:r w:rsidR="00CB2F98" w:rsidRPr="00BF164D">
        <w:rPr>
          <w:rFonts w:ascii="Times New Roman" w:hAnsi="Times New Roman" w:cs="Times New Roman"/>
          <w:sz w:val="24"/>
          <w:szCs w:val="24"/>
          <w:lang w:val="pt-PT"/>
        </w:rPr>
        <w:t xml:space="preserve"> Dranka et al </w:t>
      </w:r>
      <w:r w:rsidR="00CB2F98">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Energy","id":"ITEM-1","issue":"2","issued":{"date-parts":[["2020"]]},"number-of-pages":"339-364","title":"Economic evaluation methodologies for renewable energy projects","type":"report","volume":"8"},"uris":["http://www.mendeley.com/documents/?uuid=1fe5f3e7-b22d-4e41-8980-968b25750983"]}],"mendeley":{"formattedCitation":"(23)","plainTextFormattedCitation":"(23)","previouslyFormattedCitation":"(22)"},"properties":{"noteIndex":0},"schema":"https://github.com/citation-style-language/schema/raw/master/csl-citation.json"}</w:instrText>
      </w:r>
      <w:r w:rsidR="00CB2F98">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(23)</w:t>
      </w:r>
      <w:r w:rsidR="00CB2F98">
        <w:rPr>
          <w:rFonts w:ascii="Times New Roman" w:hAnsi="Times New Roman" w:cs="Times New Roman"/>
          <w:sz w:val="24"/>
          <w:szCs w:val="24"/>
        </w:rPr>
        <w:fldChar w:fldCharType="end"/>
      </w:r>
      <w:r w:rsidRPr="00BF164D">
        <w:rPr>
          <w:rFonts w:ascii="Times New Roman" w:hAnsi="Times New Roman" w:cs="Times New Roman"/>
          <w:sz w:val="24"/>
          <w:szCs w:val="24"/>
          <w:lang w:val="pt-PT"/>
        </w:rPr>
        <w:t xml:space="preserve">, a TIR não leva em consideração a irreversibilidade, a incerteza e a flexibilidade do gerenciamento de um projeto de investimento. Finalizando, nos casos em que houver múltiplas taxas com fluxos de caixa </w:t>
      </w:r>
      <w:r w:rsidRPr="00BF164D">
        <w:rPr>
          <w:rFonts w:ascii="Times New Roman" w:hAnsi="Times New Roman" w:cs="Times New Roman"/>
          <w:sz w:val="24"/>
          <w:szCs w:val="24"/>
          <w:lang w:val="pt-PT"/>
        </w:rPr>
        <w:lastRenderedPageBreak/>
        <w:t>alternados, deve-se considerar a utilização da Taxa Interna de Retorno Modificada (</w:t>
      </w:r>
      <w:r>
        <w:rPr>
          <w:rFonts w:ascii="Times New Roman" w:hAnsi="Times New Roman" w:cs="Times New Roman"/>
          <w:sz w:val="24"/>
          <w:szCs w:val="24"/>
          <w:lang w:val="pt-PT"/>
        </w:rPr>
        <w:t>T</w:t>
      </w:r>
      <w:r w:rsidRPr="00BF164D">
        <w:rPr>
          <w:rFonts w:ascii="Times New Roman" w:hAnsi="Times New Roman" w:cs="Times New Roman"/>
          <w:sz w:val="24"/>
          <w:szCs w:val="24"/>
          <w:lang w:val="pt-PT"/>
        </w:rPr>
        <w:t>IR</w:t>
      </w:r>
      <w:r>
        <w:rPr>
          <w:rFonts w:ascii="Times New Roman" w:hAnsi="Times New Roman" w:cs="Times New Roman"/>
          <w:sz w:val="24"/>
          <w:szCs w:val="24"/>
          <w:lang w:val="pt-PT"/>
        </w:rPr>
        <w:t>M)</w:t>
      </w:r>
      <w:r w:rsidR="007B2C57" w:rsidRPr="00AB228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{"citationItems":[{"id":"ITEM-1","itemData":{"DOI":"10.1016/j.rser.2015.01.068","ISSN":"18790690","abstract":"This paper provides a comprehensive review of the current state of the art of the economics and socio-economics of ocean renewable energy (ORE); the many ways in which the viability and impacts of an ORE project are assessed, and an analysis of the current weaknesses, issues or inappropriateness of the metrics and methodologies used in their definition and presentation. The outcomes of this paper are anticipated to benefit the ORE and wider renewable sector as a whole. The review revealed that, for the most part, the current study of economics and socio-economics of ORE remain separate and discrete areas of research. The economic methods utilised appear to be comprehensive but are limited to project (or private investor) level. The methods identified for socioeconomic assessment fall between traditional, and now routine, environmental assessment approaches and more novel holistic approaches such as ecosystem services and life cycle assessment. The novel section of the paper explored the connectivity between the economics and socio-economics of ORE in relation to project developments and policy/planning. A visualisation method was created of concentric rings intersected by related axis of economic, socio-economic and environment, and enabled the examination of the benefits arising from the connectivity between the two spheres. The concept of sustainable development process and the integration of environmental assessment for ORE was also explored and how it responds to differing stakeholder aspirations and interpretations. The analysis revealed that there was a divergence between public and private economic and socioeconomic assessments for ORE: environmental assessment is primarily a public responsibility but with significant inputs from the private developer involved while economic assessments are conducted primarily by the developer and/or investor at their own behest. However, the two spheres of economic and socio-economic for ORE are highly connected and synergistic and must be examined in a holistic manner.","author":[{"dropping-particle":"","family":"Dalton","given":"Gordon","non-dropping-particle":"","parse-names":false,"suffix":""},{"dropping-particle":"","family":"Allan","given":"Grant","non-dropping-particle":"","parse-names":false,"suffix":""},{"dropping-particle":"","family":"Beaumont","given":"Nicola","non-dropping-particle":"","parse-names":false,"suffix":""},{"dropping-particle":"","family":"Georgakaki","given":"Aliki","non-dropping-particle":"","parse-names":false,"suffix":""},{"dropping-particle":"","family":"Hacking","given":"Nick","non-dropping-particle":"","parse-names":false,"suffix":""},{"dropping-particle":"","family":"Hooper","given":"Tara","non-dropping-particle":"","parse-names":false,"suffix":""},{"dropping-particle":"","family":"Kerr","given":"Sandy","non-dropping-particle":"","parse-names":false,"suffix":""},{"dropping-particle":"","family":"O'Hagan","given":"Anne Marie","non-dropping-particle":"","parse-names":false,"suffix":""},{"dropping-particle":"","family":"Reilly","given":"Kieran","non-dropping-particle":"","parse-names":false,"suffix":""},{"dropping-particle":"","family":"Ricci","given":"Pierpaolo","non-dropping-particle":"","parse-names":false,"suffix":""},{"dropping-particle":"","family":"Sheng","given":"Wanan","non-dropping-particle":"","parse-names":false,"suffix":""},{"dropping-particle":"","family":"Stallard","given":"Tim","non-dropping-particle":"","parse-names":false,"suffix":""}],"container-title":"Renewable and Sustainable Energy Reviews","id":"ITEM-1","issued":{"date-parts":[["2015"]]},"page":"850-878","publisher":"Elsevier","title":"Economic and socio-economic assessment methods for ocean renewable energy: Public and private perspectives","type":"article-journal","volume":"45"},"uris":["http://www.mendeley.com/documents/?uuid=39a89efa-652d-4e83-bccb-51f611f5144e"]},{"id":"ITEM-2","itemData":{"DOI":"10.3934/ENERGY.2020.2.339","ISSN":"23338334","abstract":"Typically,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Energy","id":"ITEM-2","issue":"2","issued":{"date-parts":[["2020"]]},"number-of-pages":"339-364","title":"Economic evaluation methodologies for renewable energy projects","type":"report","volume":"8"},"uris":["http://www.mendeley.com/documents/?uuid=1fe5f3e7-b22d-4e41-8980-968b25750983"]}],"mendeley":{"formattedCitation":"(15,23)","plainTextFormattedCitation":"(15,23)","previouslyFormattedCitation":"(14,22)"},"properties":{"noteIndex":0},"schema":"https://github.com/citation-style-language/schema/raw/master/csl-citation.json"}</w:instrText>
      </w:r>
      <w:r w:rsidR="007B2C57" w:rsidRPr="00AB228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(15,23)</w:t>
      </w:r>
      <w:r w:rsidR="007B2C57" w:rsidRPr="00AB228B">
        <w:rPr>
          <w:rFonts w:ascii="Times New Roman" w:hAnsi="Times New Roman" w:cs="Times New Roman"/>
          <w:sz w:val="24"/>
          <w:szCs w:val="24"/>
        </w:rPr>
        <w:fldChar w:fldCharType="end"/>
      </w:r>
      <w:r w:rsidR="007B2C57" w:rsidRPr="00BF164D">
        <w:rPr>
          <w:rFonts w:ascii="Times New Roman" w:hAnsi="Times New Roman" w:cs="Times New Roman"/>
          <w:sz w:val="24"/>
          <w:szCs w:val="24"/>
          <w:lang w:val="pt-PT"/>
        </w:rPr>
        <w:t>.</w:t>
      </w:r>
    </w:p>
    <w:p w14:paraId="09BBBEF3" w14:textId="06154405" w:rsidR="002C3776" w:rsidRPr="00AB228B" w:rsidRDefault="00BF164D" w:rsidP="00691500">
      <w:pPr>
        <w:spacing w:after="0" w:line="360" w:lineRule="auto"/>
        <w:ind w:left="1134" w:firstLine="709"/>
        <w:jc w:val="both"/>
        <w:rPr>
          <w:rFonts w:ascii="Times New Roman" w:hAnsi="Times New Roman" w:cs="Times New Roman"/>
          <w:sz w:val="24"/>
          <w:szCs w:val="24"/>
        </w:rPr>
      </w:pPr>
      <w:r w:rsidRPr="00BF164D">
        <w:rPr>
          <w:rFonts w:ascii="Times New Roman" w:hAnsi="Times New Roman" w:cs="Times New Roman"/>
          <w:sz w:val="24"/>
          <w:szCs w:val="24"/>
          <w:lang w:val="pt-PT"/>
        </w:rPr>
        <w:t>TIRM</w:t>
      </w:r>
      <w:r w:rsidR="002C3776" w:rsidRPr="00BF164D">
        <w:rPr>
          <w:rFonts w:ascii="Times New Roman" w:hAnsi="Times New Roman" w:cs="Times New Roman"/>
          <w:sz w:val="24"/>
          <w:szCs w:val="24"/>
          <w:lang w:val="pt-PT"/>
        </w:rPr>
        <w:t xml:space="preserve"> </w:t>
      </w:r>
      <w:r w:rsidRPr="00BF164D">
        <w:rPr>
          <w:rFonts w:ascii="Times New Roman" w:hAnsi="Times New Roman" w:cs="Times New Roman"/>
          <w:sz w:val="24"/>
          <w:szCs w:val="24"/>
          <w:lang w:val="pt-PT"/>
        </w:rPr>
        <w:t xml:space="preserve">é a taxa que iguala o valor presente da soma dos valores futuros das entradas de caixa do projeto, capitalizadas, ao custo de capital da empresa ao valor presente dos custos do mesmo projeto, ou seja, estabelece que as entradas líquidas de caixa deve ser reinvestido a um custo de capital. O </w:t>
      </w:r>
      <w:r>
        <w:rPr>
          <w:rFonts w:ascii="Times New Roman" w:hAnsi="Times New Roman" w:cs="Times New Roman"/>
          <w:sz w:val="24"/>
          <w:szCs w:val="24"/>
          <w:lang w:val="pt-PT"/>
        </w:rPr>
        <w:t>TIRM</w:t>
      </w:r>
      <w:r w:rsidRPr="00BF164D">
        <w:rPr>
          <w:rFonts w:ascii="Times New Roman" w:hAnsi="Times New Roman" w:cs="Times New Roman"/>
          <w:sz w:val="24"/>
          <w:szCs w:val="24"/>
          <w:lang w:val="pt-PT"/>
        </w:rPr>
        <w:t xml:space="preserve"> é usado principalmente no orçamento de capital para identificar a viabilidade de um projeto de investimento, ou seja, é usado para avaliar o retorno do investimento, comparar diferentes investimentos e a taxa de reinvestimento (por exemplo, se um projeto for maior que o retorno esperado indica que é um bom investimento, caso contrário, se o seu </w:t>
      </w:r>
      <w:r>
        <w:rPr>
          <w:rFonts w:ascii="Times New Roman" w:hAnsi="Times New Roman" w:cs="Times New Roman"/>
          <w:sz w:val="24"/>
          <w:szCs w:val="24"/>
          <w:lang w:val="pt-PT"/>
        </w:rPr>
        <w:t>TIRM</w:t>
      </w:r>
      <w:r w:rsidRPr="00BF164D">
        <w:rPr>
          <w:rFonts w:ascii="Times New Roman" w:hAnsi="Times New Roman" w:cs="Times New Roman"/>
          <w:sz w:val="24"/>
          <w:szCs w:val="24"/>
          <w:lang w:val="pt-PT"/>
        </w:rPr>
        <w:t xml:space="preserve"> for menor que o retorno esperado empreender um projeto não é recomendado </w:t>
      </w:r>
      <w:r w:rsidR="002E6AAD" w:rsidRPr="00AB228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{"citationItems":[{"id":"ITEM-1","itemData":{"ISSN":"0093-3961","abstract":"Unlike other investment decision techniques, Modified Internal Rate of Return (MIRR) has yielded mixed academic opinions. MIRR is sometimes heralded as a superior decision rule, sometimes seen as having little value, and sometimes ignored altogether. We offer an alternative view; that the value of MIRR lays in improving students' understanding of net present value (NPV) as the primary decision criteria for investment decisions. Results of a classroom experiment support MIRR's pedagogical value for reinforcing the NPV rule. [ABSTRACT FROM AUTHOR]","author":[{"dropping-particle":"","family":"Balyeat","given":"Brian","non-dropping-particle":"","parse-names":false,"suffix":""},{"dropping-particle":"","family":"Cagle","given":"Julie","non-dropping-particle":"","parse-names":false,"suffix":""}],"container-title":"Journal of Financial Education","id":"ITEM-1","issue":"1","issued":{"date-parts":[["2015"]]},"number-of-pages":"90-103","title":"MIRR : The Means to an End ? Reinforcing Optimal Investment Decisions Using the NPV Rule","type":"report","volume":"41"},"uris":["http://www.mendeley.com/documents/?uuid=d479d09c-ca95-4d5a-8027-fdcce28e8a23"]}],"mendeley":{"formattedCitation":"(31)","plainTextFormattedCitation":"(31)","previouslyFormattedCitation":"(30)"},"properties":{"noteIndex":0},"schema":"https://github.com/citation-style-language/schema/raw/master/csl-citation.json"}</w:instrText>
      </w:r>
      <w:r w:rsidR="002E6AAD" w:rsidRPr="00AB228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(31)</w:t>
      </w:r>
      <w:r w:rsidR="002E6AAD" w:rsidRPr="00AB228B">
        <w:rPr>
          <w:rFonts w:ascii="Times New Roman" w:hAnsi="Times New Roman" w:cs="Times New Roman"/>
          <w:sz w:val="24"/>
          <w:szCs w:val="24"/>
        </w:rPr>
        <w:fldChar w:fldCharType="end"/>
      </w:r>
      <w:r w:rsidR="002C3776" w:rsidRPr="00BF164D">
        <w:rPr>
          <w:rFonts w:ascii="Times New Roman" w:hAnsi="Times New Roman" w:cs="Times New Roman"/>
          <w:sz w:val="24"/>
          <w:szCs w:val="24"/>
          <w:lang w:val="pt-PT"/>
        </w:rPr>
        <w:t xml:space="preserve">. </w:t>
      </w:r>
      <w:r w:rsidRPr="00BF164D">
        <w:rPr>
          <w:rFonts w:ascii="Times New Roman" w:hAnsi="Times New Roman" w:cs="Times New Roman"/>
          <w:sz w:val="24"/>
          <w:szCs w:val="24"/>
          <w:lang w:val="pt-PT"/>
        </w:rPr>
        <w:t xml:space="preserve">Além disso, o </w:t>
      </w:r>
      <w:r>
        <w:rPr>
          <w:rFonts w:ascii="Times New Roman" w:hAnsi="Times New Roman" w:cs="Times New Roman"/>
          <w:sz w:val="24"/>
          <w:szCs w:val="24"/>
          <w:lang w:val="pt-PT"/>
        </w:rPr>
        <w:t>TIRM</w:t>
      </w:r>
      <w:r w:rsidRPr="00BF164D">
        <w:rPr>
          <w:rFonts w:ascii="Times New Roman" w:hAnsi="Times New Roman" w:cs="Times New Roman"/>
          <w:sz w:val="24"/>
          <w:szCs w:val="24"/>
          <w:lang w:val="pt-PT"/>
        </w:rPr>
        <w:t xml:space="preserve"> é normalmente empregado para comparar vários projetos alternativos mutuamente exclusivos, a fim de escolher o projeto com o maior </w:t>
      </w:r>
      <w:r w:rsidR="0026018F">
        <w:rPr>
          <w:rFonts w:ascii="Times New Roman" w:hAnsi="Times New Roman" w:cs="Times New Roman"/>
          <w:sz w:val="24"/>
          <w:szCs w:val="24"/>
          <w:lang w:val="pt-PT"/>
        </w:rPr>
        <w:t>TIRM</w:t>
      </w:r>
      <w:r w:rsidRPr="00BF164D">
        <w:rPr>
          <w:rFonts w:ascii="Times New Roman" w:hAnsi="Times New Roman" w:cs="Times New Roman"/>
          <w:sz w:val="24"/>
          <w:szCs w:val="24"/>
          <w:lang w:val="pt-PT"/>
        </w:rPr>
        <w:t xml:space="preserve">. A melhor decisão ao analisar os dois indicadores juntos para o mesmo projeto é ter um positivo. No entanto, a principal desvantagem do </w:t>
      </w:r>
      <w:r>
        <w:rPr>
          <w:rFonts w:ascii="Times New Roman" w:hAnsi="Times New Roman" w:cs="Times New Roman"/>
          <w:sz w:val="24"/>
          <w:szCs w:val="24"/>
          <w:lang w:val="pt-PT"/>
        </w:rPr>
        <w:t>TIRM</w:t>
      </w:r>
      <w:r w:rsidRPr="00BF164D">
        <w:rPr>
          <w:rFonts w:ascii="Times New Roman" w:hAnsi="Times New Roman" w:cs="Times New Roman"/>
          <w:sz w:val="24"/>
          <w:szCs w:val="24"/>
          <w:lang w:val="pt-PT"/>
        </w:rPr>
        <w:t xml:space="preserve"> é que ele exige que as pessoas tomem várias decisões sobre o custo de capital e a taxa de financiamento que geram estimativas adicionais no processo de tomada de decisão por envolver duas alternativas causando hesitação por parte de quem deseja analisar o investimento </w:t>
      </w:r>
      <w:r w:rsidR="00A4297D" w:rsidRPr="00AB228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{"citationItems":[{"id":"ITEM-1","itemData":{"DOI":"10.1016/j.bushor.2008.02.005","ISSN":"00076813","abstract":"Over the past 60 years Net Present Value (NPV) and the Internal Rate of Return (IRR) have emerged from obscurity to become the overwhelming choices for the quantitative measurement of investment attractiveness in modern corporations. Despite their current popularity, neither NPV nor IRR was designed to deal effectively with the vast majority of investment problems, meaning those where periodic free cash flows are generated between the time of asset purchase and the time of sale. NPV assumes that periodic cash flows can and will be reinvested at the NPV discount rate, either at the cost of capital or another risk adjusted discount rate; IRR assumes reinvestment at the IRR. Neither assumption is usually realistic. In addition, when evaluating projects in terms of their financial attractiveness, the two measures may rank projects differently. This becomes important when capital budgets are limited. Finally, a project may have several IRRs if cash flows go from negative to positive more than once. The Modified Internal Rate of Return (MIRR), discovered in the 18th century, does account for these cash flows. This article explains the problems with NPV and IRR, describes how MIRR works, and demonstrates how MIRR deals with weaknesses in NPV and IRR. © 2008 Kelley School of Business, Indiana University.","author":[{"dropping-particle":"","family":"Kierulff","given":"Herbert","non-dropping-particle":"","parse-names":false,"suffix":""}],"container-title":"Business Horizons","id":"ITEM-1","issue":"4","issued":{"date-parts":[["2008"]]},"number-of-pages":"321-329","title":"MIRR: A better measure","type":"report","volume":"51"},"uris":["http://www.mendeley.com/documents/?uuid=9daa5159-0d38-4e5a-8019-343515a5e8f5"]}],"mendeley":{"formattedCitation":"(32)","plainTextFormattedCitation":"(32)","previouslyFormattedCitation":"(31)"},"properties":{"noteIndex":0},"schema":"https://github.com/citation-style-language/schema/raw/master/csl-citation.json"}</w:instrText>
      </w:r>
      <w:r w:rsidR="00A4297D" w:rsidRPr="00AB228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rPr>
        <w:t>(32)</w:t>
      </w:r>
      <w:r w:rsidR="00A4297D" w:rsidRPr="00AB228B">
        <w:rPr>
          <w:rFonts w:ascii="Times New Roman" w:hAnsi="Times New Roman" w:cs="Times New Roman"/>
          <w:sz w:val="24"/>
          <w:szCs w:val="24"/>
        </w:rPr>
        <w:fldChar w:fldCharType="end"/>
      </w:r>
      <w:r w:rsidR="005E782D" w:rsidRPr="00AB228B">
        <w:rPr>
          <w:rFonts w:ascii="Times New Roman" w:hAnsi="Times New Roman" w:cs="Times New Roman"/>
          <w:sz w:val="24"/>
          <w:szCs w:val="24"/>
        </w:rPr>
        <w:t>.</w:t>
      </w:r>
      <w:r w:rsidR="00051D63" w:rsidRPr="00AB228B">
        <w:rPr>
          <w:rFonts w:ascii="Times New Roman" w:hAnsi="Times New Roman" w:cs="Times New Roman"/>
          <w:sz w:val="24"/>
          <w:szCs w:val="24"/>
        </w:rPr>
        <w:t xml:space="preserve"> </w:t>
      </w:r>
    </w:p>
    <w:p w14:paraId="32482057" w14:textId="61A666D8" w:rsidR="008F2653" w:rsidRDefault="001535E5" w:rsidP="00691500">
      <w:pPr>
        <w:spacing w:after="0" w:line="360" w:lineRule="auto"/>
        <w:ind w:left="1134" w:firstLine="709"/>
        <w:jc w:val="both"/>
        <w:rPr>
          <w:rFonts w:ascii="Times New Roman" w:hAnsi="Times New Roman" w:cs="Times New Roman"/>
          <w:color w:val="000000" w:themeColor="text1"/>
          <w:sz w:val="24"/>
          <w:szCs w:val="24"/>
        </w:rPr>
      </w:pPr>
      <w:r w:rsidRPr="001535E5">
        <w:rPr>
          <w:rFonts w:ascii="Times New Roman" w:hAnsi="Times New Roman" w:cs="Times New Roman"/>
          <w:color w:val="000000" w:themeColor="text1"/>
          <w:sz w:val="24"/>
          <w:szCs w:val="24"/>
        </w:rPr>
        <w:t>.</w:t>
      </w:r>
    </w:p>
    <w:p w14:paraId="4237BF52" w14:textId="18FD644C" w:rsidR="00A06417" w:rsidRPr="002227A2" w:rsidRDefault="00A06417" w:rsidP="00691500">
      <w:pPr>
        <w:pStyle w:val="Ttulo3"/>
        <w:numPr>
          <w:ilvl w:val="3"/>
          <w:numId w:val="6"/>
        </w:numPr>
        <w:spacing w:before="0" w:line="360" w:lineRule="auto"/>
        <w:ind w:left="1134" w:firstLine="709"/>
        <w:jc w:val="both"/>
        <w:rPr>
          <w:rFonts w:ascii="Times New Roman" w:hAnsi="Times New Roman" w:cs="Times New Roman"/>
          <w:color w:val="000000" w:themeColor="text1"/>
          <w:sz w:val="32"/>
          <w:szCs w:val="32"/>
        </w:rPr>
      </w:pPr>
      <w:r w:rsidRPr="002227A2">
        <w:rPr>
          <w:rFonts w:ascii="Times New Roman" w:hAnsi="Times New Roman" w:cs="Times New Roman"/>
          <w:color w:val="000000" w:themeColor="text1"/>
          <w:sz w:val="32"/>
          <w:szCs w:val="32"/>
        </w:rPr>
        <w:t>Ret</w:t>
      </w:r>
      <w:r w:rsidR="0026018F">
        <w:rPr>
          <w:rFonts w:ascii="Times New Roman" w:hAnsi="Times New Roman" w:cs="Times New Roman"/>
          <w:color w:val="000000" w:themeColor="text1"/>
          <w:sz w:val="32"/>
          <w:szCs w:val="32"/>
        </w:rPr>
        <w:t>o</w:t>
      </w:r>
      <w:r w:rsidR="00877AAC">
        <w:rPr>
          <w:rFonts w:ascii="Times New Roman" w:hAnsi="Times New Roman" w:cs="Times New Roman"/>
          <w:color w:val="000000" w:themeColor="text1"/>
          <w:sz w:val="32"/>
          <w:szCs w:val="32"/>
        </w:rPr>
        <w:t>rn</w:t>
      </w:r>
      <w:r w:rsidR="0026018F">
        <w:rPr>
          <w:rFonts w:ascii="Times New Roman" w:hAnsi="Times New Roman" w:cs="Times New Roman"/>
          <w:color w:val="000000" w:themeColor="text1"/>
          <w:sz w:val="32"/>
          <w:szCs w:val="32"/>
        </w:rPr>
        <w:t>o</w:t>
      </w:r>
      <w:r w:rsidR="00877AAC">
        <w:rPr>
          <w:rFonts w:ascii="Times New Roman" w:hAnsi="Times New Roman" w:cs="Times New Roman"/>
          <w:color w:val="000000" w:themeColor="text1"/>
          <w:sz w:val="32"/>
          <w:szCs w:val="32"/>
        </w:rPr>
        <w:t xml:space="preserve"> </w:t>
      </w:r>
      <w:r w:rsidR="0026018F">
        <w:rPr>
          <w:rFonts w:ascii="Times New Roman" w:hAnsi="Times New Roman" w:cs="Times New Roman"/>
          <w:color w:val="000000" w:themeColor="text1"/>
          <w:sz w:val="32"/>
          <w:szCs w:val="32"/>
        </w:rPr>
        <w:t>d</w:t>
      </w:r>
      <w:r w:rsidR="009B4C25">
        <w:rPr>
          <w:rFonts w:ascii="Times New Roman" w:hAnsi="Times New Roman" w:cs="Times New Roman"/>
          <w:color w:val="000000" w:themeColor="text1"/>
          <w:sz w:val="32"/>
          <w:szCs w:val="32"/>
        </w:rPr>
        <w:t>o</w:t>
      </w:r>
      <w:r w:rsidR="00877AAC">
        <w:rPr>
          <w:rFonts w:ascii="Times New Roman" w:hAnsi="Times New Roman" w:cs="Times New Roman"/>
          <w:color w:val="000000" w:themeColor="text1"/>
          <w:sz w:val="32"/>
          <w:szCs w:val="32"/>
        </w:rPr>
        <w:t xml:space="preserve"> invest</w:t>
      </w:r>
      <w:r w:rsidR="0026018F">
        <w:rPr>
          <w:rFonts w:ascii="Times New Roman" w:hAnsi="Times New Roman" w:cs="Times New Roman"/>
          <w:color w:val="000000" w:themeColor="text1"/>
          <w:sz w:val="32"/>
          <w:szCs w:val="32"/>
        </w:rPr>
        <w:t>i</w:t>
      </w:r>
      <w:r w:rsidR="00877AAC">
        <w:rPr>
          <w:rFonts w:ascii="Times New Roman" w:hAnsi="Times New Roman" w:cs="Times New Roman"/>
          <w:color w:val="000000" w:themeColor="text1"/>
          <w:sz w:val="32"/>
          <w:szCs w:val="32"/>
        </w:rPr>
        <w:t>ment</w:t>
      </w:r>
      <w:r w:rsidR="0026018F">
        <w:rPr>
          <w:rFonts w:ascii="Times New Roman" w:hAnsi="Times New Roman" w:cs="Times New Roman"/>
          <w:color w:val="000000" w:themeColor="text1"/>
          <w:sz w:val="32"/>
          <w:szCs w:val="32"/>
        </w:rPr>
        <w:t>o</w:t>
      </w:r>
      <w:r w:rsidRPr="002227A2">
        <w:rPr>
          <w:rFonts w:ascii="Times New Roman" w:hAnsi="Times New Roman" w:cs="Times New Roman"/>
          <w:color w:val="000000" w:themeColor="text1"/>
          <w:sz w:val="32"/>
          <w:szCs w:val="32"/>
        </w:rPr>
        <w:t xml:space="preserve"> (ROI)</w:t>
      </w:r>
    </w:p>
    <w:p w14:paraId="5FAE2730" w14:textId="464D0414" w:rsidR="00A06417" w:rsidRDefault="00A06417" w:rsidP="00691500">
      <w:pPr>
        <w:spacing w:after="0" w:line="360" w:lineRule="auto"/>
        <w:ind w:left="1134" w:firstLine="709"/>
        <w:jc w:val="both"/>
        <w:rPr>
          <w:rFonts w:ascii="Times New Roman" w:hAnsi="Times New Roman" w:cs="Times New Roman"/>
          <w:sz w:val="24"/>
          <w:szCs w:val="24"/>
        </w:rPr>
      </w:pPr>
    </w:p>
    <w:p w14:paraId="282F0AC8" w14:textId="4CA61BED" w:rsidR="0018342D" w:rsidRPr="0026018F" w:rsidRDefault="0026018F" w:rsidP="00691500">
      <w:pPr>
        <w:spacing w:after="0" w:line="360" w:lineRule="auto"/>
        <w:ind w:left="1134" w:firstLine="709"/>
        <w:jc w:val="both"/>
        <w:rPr>
          <w:lang w:val="pt-PT"/>
        </w:rPr>
      </w:pPr>
      <w:r w:rsidRPr="0026018F">
        <w:rPr>
          <w:rFonts w:ascii="Times New Roman" w:hAnsi="Times New Roman" w:cs="Times New Roman"/>
          <w:sz w:val="24"/>
          <w:szCs w:val="24"/>
          <w:lang w:val="pt-PT"/>
        </w:rPr>
        <w:t xml:space="preserve">Essa métrica, geralmente não usada, mede a relação entre o valor presente dos fluxos de caixa e os investimentos do projeto </w:t>
      </w:r>
      <w:r w:rsidR="00A34B6C" w:rsidRPr="00524AEC">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{"citationItems":[{"id":"ITEM-1","itemData":{"DOI":"10.1016/j.renene.2014.01.038","ISSN":"09601481","abstract":"Several methods can be employed to evaluate investment in energy production. On one hand, traditional methods (Net Present Value (NPV) or Internal Rate of Return (IRR), for example) ignore certain project characteristics that may influence its evaluation, such as irreversibility, uncertainty and management flexibility. Nevertheless, the Real Option Approach (ROA) has an advantage over the application of traditional methods, since the prior uncertainties are taken into account. Thus, the main objective of this study is to apply ROA to a case-study (mini-hydro plant) through the use of the binomial tree developed by Cox, Ross and Rubinstein in 1979. This study concludes that the value of ROA is higher than the value of NPV because the investor can get better information and uncertainty is reduced when he has the option to defer the investment. In addition to providing a deep analysis on the major gaps in energy investment evaluation, this work contributes to a better understanding of the usefulness of ROA. © 2014 Elsevier Ltd.","author":[{"dropping-particle":"","family":"Santos","given":"Lúcia","non-dropping-particle":"","parse-names":false,"suffix":""},{"dropping-particle":"","family":"Soares","given":"Isabel","non-dropping-particle":"","parse-names":false,"suffix":""},{"dropping-particle":"","family":"Mendes","given":"Carla","non-dropping-particle":"","parse-names":false,"suffix":""},{"dropping-particle":"","family":"Ferreira","given":"Paula","non-dropping-particle":"","parse-names":false,"suffix":""}],"container-title":"Renewable Energy","id":"ITEM-1","issued":{"date-parts":[["2014"]]},"page":"588-594","publisher":"Elsevier Ltd","title":"Real Options versus Traditional Methods to assess Renewable Energy Projects","type":"article-journal","volume":"68"},"uris":["http://www.mendeley.com/documents/?uuid=f9da8d5d-d12d-4a65-82dd-22b66ec8e351"]}],"mendeley":{"formattedCitation":"(14)","plainTextFormattedCitation":"(14)","previouslyFormattedCitation":"(13)"},"properties":{"noteIndex":0},"schema":"https://github.com/citation-style-language/schema/raw/master/csl-citation.json"}</w:instrText>
      </w:r>
      <w:r w:rsidR="00A34B6C" w:rsidRPr="00524AEC">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(14)</w:t>
      </w:r>
      <w:r w:rsidR="00A34B6C" w:rsidRPr="00524AEC">
        <w:rPr>
          <w:rFonts w:ascii="Times New Roman" w:hAnsi="Times New Roman" w:cs="Times New Roman"/>
          <w:sz w:val="24"/>
          <w:szCs w:val="24"/>
        </w:rPr>
        <w:fldChar w:fldCharType="end"/>
      </w:r>
      <w:r w:rsidR="00A34B6C" w:rsidRPr="0026018F">
        <w:rPr>
          <w:rFonts w:ascii="Times New Roman" w:hAnsi="Times New Roman" w:cs="Times New Roman"/>
          <w:noProof/>
          <w:sz w:val="24"/>
          <w:szCs w:val="24"/>
          <w:lang w:val="pt-PT"/>
        </w:rPr>
        <w:t>.</w:t>
      </w:r>
      <w:r w:rsidR="00B0051E" w:rsidRPr="0026018F">
        <w:rPr>
          <w:rFonts w:ascii="Times New Roman" w:hAnsi="Times New Roman" w:cs="Times New Roman"/>
          <w:sz w:val="24"/>
          <w:szCs w:val="24"/>
          <w:lang w:val="pt-PT"/>
        </w:rPr>
        <w:t xml:space="preserve"> </w:t>
      </w:r>
      <w:r w:rsidRPr="0026018F">
        <w:rPr>
          <w:rFonts w:ascii="Times New Roman" w:hAnsi="Times New Roman" w:cs="Times New Roman"/>
          <w:sz w:val="24"/>
          <w:szCs w:val="24"/>
          <w:lang w:val="pt-PT"/>
        </w:rPr>
        <w:t xml:space="preserve">O ROI é indicado quando há competição entre mercados e falta de recursos financeiros disponíveis para realizar investimentos, permitindo que as empresas comparem vários projetos e acabem selecionando o projeto mais rentável em diferentes cenários. O ROI pode ser visto como uma medida de lucratividade para gerar um fluxo de benefícios futuros com retorno esperado no período de um ano. Mede o lucro líquido gerado por uma empresa dividido pelo total de ativos </w:t>
      </w:r>
      <w:r w:rsidR="009B7897" w:rsidRPr="00524AEC">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{"citationItems":[{"id":"ITEM-1","itemData":{"ISBN":"9788580554328","author":[{"dropping-particle":"","family":"Ross","given":"Stephen A.","non-dropping-particle":"","parse-names":false,"suffix":""},{"dropping-particle":"","family":"Westerfield","given":"Randolph W.","non-dropping-particle":"","parse-names":false,"suffix":""},{"dropping-particle":"","family":"Jaffe","given":"Jeffrey","non-dropping-particle":"","parse-names":false,"suffix":""},{"dropping-particle":"","family":"Lamb","given":"Roberto","non-dropping-particle":"","parse-names":false,"suffix":""}],"id":"ITEM-1","issued":{"date-parts":[["2015"]]},"number-of-pages":"1196","title":"Administração financeira : versão brasileira de corporate finance","type":"book"},"uris":["http://www.mendeley.com/documents/?uuid=857e68c9-b1b6-43d5-9aff-b7b15f6f7bbd"]}],"mendeley":{"formattedCitation":"(17)","plainTextFormattedCitation":"(17)","previouslyFormattedCitation":"(16)"},"properties":{"noteIndex":0},"schema":"https://github.com/citation-style-language/schema/raw/master/csl-citation.json"}</w:instrText>
      </w:r>
      <w:r w:rsidR="009B7897" w:rsidRPr="00524AEC">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(17)</w:t>
      </w:r>
      <w:r w:rsidR="009B7897" w:rsidRPr="00524AEC">
        <w:rPr>
          <w:rFonts w:ascii="Times New Roman" w:hAnsi="Times New Roman" w:cs="Times New Roman"/>
          <w:sz w:val="24"/>
          <w:szCs w:val="24"/>
        </w:rPr>
        <w:fldChar w:fldCharType="end"/>
      </w:r>
      <w:r w:rsidR="00536899" w:rsidRPr="0026018F">
        <w:rPr>
          <w:rFonts w:ascii="Times New Roman" w:hAnsi="Times New Roman" w:cs="Times New Roman"/>
          <w:sz w:val="24"/>
          <w:szCs w:val="24"/>
          <w:lang w:val="pt-PT"/>
        </w:rPr>
        <w:t>.</w:t>
      </w:r>
      <w:r w:rsidR="00536899" w:rsidRPr="0026018F">
        <w:rPr>
          <w:lang w:val="pt-PT"/>
        </w:rPr>
        <w:t xml:space="preserve"> </w:t>
      </w:r>
      <w:r w:rsidRPr="0026018F">
        <w:rPr>
          <w:rFonts w:ascii="Times New Roman" w:hAnsi="Times New Roman" w:cs="Times New Roman"/>
          <w:sz w:val="24"/>
          <w:szCs w:val="24"/>
          <w:lang w:val="pt-PT"/>
        </w:rPr>
        <w:t xml:space="preserve">A desvantagem do ROI é quando o ROI ignora que a taxa de retorno deve ser igual ou superior ao custo de capital. Os acionistas querem que a empresa maximize o retorno absoluto acima do </w:t>
      </w:r>
      <w:r w:rsidRPr="0026018F">
        <w:rPr>
          <w:rFonts w:ascii="Times New Roman" w:hAnsi="Times New Roman" w:cs="Times New Roman"/>
          <w:sz w:val="24"/>
          <w:szCs w:val="24"/>
          <w:lang w:val="pt-PT"/>
        </w:rPr>
        <w:lastRenderedPageBreak/>
        <w:t xml:space="preserve">custo de capital e não maximize porcentagens </w:t>
      </w:r>
      <w:r w:rsidR="00CB2B52">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{"citationItems":[{"id":"ITEM-1","itemData":{"author":[{"dropping-particle":"","family":"Mäkeläinen","given":"Esa","non-dropping-particle":"","parse-names":false,"suffix":""}],"id":"ITEM-1","issued":{"date-parts":[["1998"]]},"publisher":"Helsinki School of Economics and Business Administration Department","title":"Economic Value Added AS A management tool","type":"thesis"},"uris":["http://www.mendeley.com/documents/?uuid=f789d6ec-d935-480f-979b-1d66c750f194"]}],"mendeley":{"formattedCitation":"(33)","plainTextFormattedCitation":"(33)","previouslyFormattedCitation":"(32)"},"properties":{"noteIndex":0},"schema":"https://github.com/citation-style-language/schema/raw/master/csl-citation.json"}</w:instrText>
      </w:r>
      <w:r w:rsidR="00CB2B52">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(33)</w:t>
      </w:r>
      <w:r w:rsidR="00CB2B52">
        <w:rPr>
          <w:rFonts w:ascii="Times New Roman" w:hAnsi="Times New Roman" w:cs="Times New Roman"/>
          <w:sz w:val="24"/>
          <w:szCs w:val="24"/>
        </w:rPr>
        <w:fldChar w:fldCharType="end"/>
      </w:r>
      <w:r w:rsidR="00CB2B52" w:rsidRPr="0026018F">
        <w:rPr>
          <w:rFonts w:ascii="Times New Roman" w:hAnsi="Times New Roman" w:cs="Times New Roman"/>
          <w:sz w:val="24"/>
          <w:szCs w:val="24"/>
          <w:lang w:val="pt-PT"/>
        </w:rPr>
        <w:t>.</w:t>
      </w:r>
      <w:r w:rsidR="00CB2B52" w:rsidRPr="0026018F">
        <w:rPr>
          <w:lang w:val="pt-PT"/>
        </w:rPr>
        <w:t xml:space="preserve"> </w:t>
      </w:r>
      <w:r w:rsidR="00AB228B" w:rsidRPr="0026018F">
        <w:rPr>
          <w:rFonts w:ascii="Times New Roman" w:hAnsi="Times New Roman" w:cs="Times New Roman"/>
          <w:sz w:val="24"/>
          <w:szCs w:val="24"/>
          <w:lang w:val="pt-PT"/>
        </w:rPr>
        <w:t xml:space="preserve">ROI </w:t>
      </w:r>
      <w:r w:rsidRPr="0026018F">
        <w:rPr>
          <w:rFonts w:ascii="Times New Roman" w:hAnsi="Times New Roman" w:cs="Times New Roman"/>
          <w:sz w:val="24"/>
          <w:szCs w:val="24"/>
          <w:lang w:val="pt-PT"/>
        </w:rPr>
        <w:t xml:space="preserve">pode ser expresso pela seguinte equação </w:t>
      </w:r>
      <w:r w:rsidR="00E80AD9" w:rsidRPr="0026018F">
        <w:rPr>
          <w:rFonts w:ascii="Times New Roman" w:hAnsi="Times New Roman" w:cs="Times New Roman"/>
          <w:sz w:val="24"/>
          <w:szCs w:val="24"/>
          <w:lang w:val="pt-PT"/>
        </w:rPr>
        <w:t>5</w:t>
      </w:r>
      <w:r w:rsidR="001B78BD" w:rsidRPr="0026018F">
        <w:rPr>
          <w:rFonts w:ascii="Times New Roman" w:hAnsi="Times New Roman" w:cs="Times New Roman"/>
          <w:sz w:val="24"/>
          <w:szCs w:val="24"/>
          <w:lang w:val="pt-PT"/>
        </w:rPr>
        <w:t>:</w:t>
      </w:r>
    </w:p>
    <w:p w14:paraId="7C500CF6" w14:textId="260E2378" w:rsidR="001B78BD" w:rsidRPr="0026018F" w:rsidRDefault="001B78BD" w:rsidP="00691500">
      <w:pPr>
        <w:spacing w:after="0" w:line="360" w:lineRule="auto"/>
        <w:ind w:left="1134" w:firstLine="709"/>
        <w:jc w:val="both"/>
        <w:rPr>
          <w:lang w:val="pt-PT"/>
        </w:rPr>
      </w:pPr>
    </w:p>
    <w:p w14:paraId="53BD52A1" w14:textId="0C55A08B" w:rsidR="00E80AD9" w:rsidRPr="0026018F" w:rsidRDefault="001B78BD" w:rsidP="00691500">
      <w:pPr>
        <w:spacing w:after="0" w:line="360" w:lineRule="auto"/>
        <w:ind w:left="1134"/>
        <w:jc w:val="both"/>
        <w:rPr>
          <w:rFonts w:ascii="Times New Roman" w:hAnsi="Times New Roman" w:cs="Times New Roman"/>
          <w:sz w:val="24"/>
          <w:szCs w:val="24"/>
          <w:lang w:val="pt-PT"/>
        </w:rPr>
      </w:pPr>
      <w:r w:rsidRPr="0026018F">
        <w:rPr>
          <w:rFonts w:ascii="Times New Roman" w:hAnsi="Times New Roman" w:cs="Times New Roman"/>
          <w:sz w:val="24"/>
          <w:szCs w:val="24"/>
          <w:lang w:val="pt-PT"/>
        </w:rPr>
        <w:t>ROI = (1 +</w:t>
      </w:r>
      <w:r w:rsidR="0026018F" w:rsidRPr="0026018F">
        <w:rPr>
          <w:rFonts w:ascii="Times New Roman" w:hAnsi="Times New Roman" w:cs="Times New Roman"/>
          <w:sz w:val="24"/>
          <w:szCs w:val="24"/>
          <w:lang w:val="pt-PT"/>
        </w:rPr>
        <w:t>TMA</w:t>
      </w:r>
      <w:r w:rsidRPr="0026018F">
        <w:rPr>
          <w:rFonts w:ascii="Times New Roman" w:hAnsi="Times New Roman" w:cs="Times New Roman"/>
          <w:sz w:val="24"/>
          <w:szCs w:val="24"/>
          <w:lang w:val="pt-PT"/>
        </w:rPr>
        <w:t>) * (1 + ROIA) – 1</w:t>
      </w:r>
      <w:r w:rsidR="00E80AD9" w:rsidRPr="0026018F">
        <w:rPr>
          <w:rFonts w:ascii="Times New Roman" w:hAnsi="Times New Roman" w:cs="Times New Roman"/>
          <w:sz w:val="24"/>
          <w:szCs w:val="24"/>
          <w:lang w:val="pt-PT"/>
        </w:rPr>
        <w:t xml:space="preserve"> </w:t>
      </w:r>
      <w:r w:rsidR="00E80AD9" w:rsidRPr="00AB228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Energy","id":"ITEM-1","issue":"2","issued":{"date-parts":[["2020"]]},"number-of-pages":"339-364","title":"Economic evaluation methodologies for renewable energy projects","type":"report","volume":"8"},"uris":["http://www.mendeley.com/documents/?uuid=1fe5f3e7-b22d-4e41-8980-968b25750983"]}],"mendeley":{"formattedCitation":"(23)","plainTextFormattedCitation":"(23)","previouslyFormattedCitation":"(22)"},"properties":{"noteIndex":0},"schema":"https://github.com/citation-style-language/schema/raw/master/csl-citation.json"}</w:instrText>
      </w:r>
      <w:r w:rsidR="00E80AD9" w:rsidRPr="00AB228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(23)</w:t>
      </w:r>
      <w:r w:rsidR="00E80AD9" w:rsidRPr="00AB228B">
        <w:rPr>
          <w:rFonts w:ascii="Times New Roman" w:hAnsi="Times New Roman" w:cs="Times New Roman"/>
          <w:sz w:val="24"/>
          <w:szCs w:val="24"/>
        </w:rPr>
        <w:fldChar w:fldCharType="end"/>
      </w:r>
      <w:r w:rsidR="00E80AD9" w:rsidRPr="0026018F">
        <w:rPr>
          <w:rFonts w:ascii="Times New Roman" w:hAnsi="Times New Roman" w:cs="Times New Roman"/>
          <w:sz w:val="24"/>
          <w:szCs w:val="24"/>
          <w:lang w:val="pt-PT"/>
        </w:rPr>
        <w:t xml:space="preserve">                                                (equation 5)</w:t>
      </w:r>
    </w:p>
    <w:p w14:paraId="1F5F8C96" w14:textId="323BB9C0" w:rsidR="001B78BD" w:rsidRPr="0026018F" w:rsidRDefault="0026018F" w:rsidP="00691500">
      <w:pPr>
        <w:spacing w:after="0" w:line="360" w:lineRule="auto"/>
        <w:ind w:left="1134" w:firstLine="709"/>
        <w:jc w:val="both"/>
        <w:rPr>
          <w:rFonts w:ascii="Times New Roman" w:hAnsi="Times New Roman" w:cs="Times New Roman"/>
          <w:sz w:val="24"/>
          <w:szCs w:val="24"/>
          <w:lang w:val="pt-PT"/>
        </w:rPr>
      </w:pPr>
      <w:r w:rsidRPr="0026018F">
        <w:rPr>
          <w:rFonts w:ascii="Times New Roman" w:hAnsi="Times New Roman" w:cs="Times New Roman"/>
          <w:sz w:val="24"/>
          <w:szCs w:val="24"/>
          <w:lang w:val="pt-PT"/>
        </w:rPr>
        <w:t>Quando TMA</w:t>
      </w:r>
      <w:r w:rsidR="001B78BD" w:rsidRPr="0026018F">
        <w:rPr>
          <w:rFonts w:ascii="Times New Roman" w:hAnsi="Times New Roman" w:cs="Times New Roman"/>
          <w:sz w:val="24"/>
          <w:szCs w:val="24"/>
          <w:lang w:val="pt-PT"/>
        </w:rPr>
        <w:t xml:space="preserve"> </w:t>
      </w:r>
      <w:r w:rsidRPr="0026018F">
        <w:rPr>
          <w:rFonts w:ascii="Times New Roman" w:hAnsi="Times New Roman" w:cs="Times New Roman"/>
          <w:sz w:val="24"/>
          <w:szCs w:val="24"/>
          <w:lang w:val="pt-PT"/>
        </w:rPr>
        <w:t>significa taxa minima de atratitividade,</w:t>
      </w:r>
      <w:r w:rsidR="00637897" w:rsidRPr="0026018F">
        <w:rPr>
          <w:rFonts w:ascii="Times New Roman" w:hAnsi="Times New Roman" w:cs="Times New Roman"/>
          <w:sz w:val="24"/>
          <w:szCs w:val="24"/>
          <w:lang w:val="pt-PT"/>
        </w:rPr>
        <w:t xml:space="preserve"> ROIA </w:t>
      </w:r>
      <w:r>
        <w:rPr>
          <w:rFonts w:ascii="Times New Roman" w:hAnsi="Times New Roman" w:cs="Times New Roman"/>
          <w:sz w:val="24"/>
          <w:szCs w:val="24"/>
          <w:lang w:val="pt-PT"/>
        </w:rPr>
        <w:t>significa Retorno do Investimento Adicional</w:t>
      </w:r>
      <w:r w:rsidR="00637897" w:rsidRPr="0026018F">
        <w:rPr>
          <w:rFonts w:ascii="Times New Roman" w:hAnsi="Times New Roman" w:cs="Times New Roman"/>
          <w:sz w:val="24"/>
          <w:szCs w:val="24"/>
          <w:lang w:val="pt-PT"/>
        </w:rPr>
        <w:t>.</w:t>
      </w:r>
    </w:p>
    <w:p w14:paraId="1B7FC961" w14:textId="77777777" w:rsidR="00C56685" w:rsidRPr="0026018F" w:rsidRDefault="00C56685" w:rsidP="00691500">
      <w:pPr>
        <w:spacing w:after="0" w:line="360" w:lineRule="auto"/>
        <w:ind w:left="1134" w:firstLine="709"/>
        <w:jc w:val="both"/>
        <w:rPr>
          <w:rFonts w:ascii="Times New Roman" w:hAnsi="Times New Roman" w:cs="Times New Roman"/>
          <w:sz w:val="24"/>
          <w:szCs w:val="24"/>
          <w:lang w:val="pt-PT"/>
        </w:rPr>
      </w:pPr>
    </w:p>
    <w:p w14:paraId="413F0934" w14:textId="6F701E9D" w:rsidR="008A00D6" w:rsidRPr="0026018F" w:rsidRDefault="0026018F" w:rsidP="00691500">
      <w:pPr>
        <w:spacing w:after="0" w:line="360" w:lineRule="auto"/>
        <w:ind w:left="1134" w:firstLine="709"/>
        <w:jc w:val="both"/>
        <w:rPr>
          <w:rFonts w:ascii="Times New Roman" w:hAnsi="Times New Roman" w:cs="Times New Roman"/>
          <w:sz w:val="24"/>
          <w:szCs w:val="24"/>
          <w:lang w:val="pt-PT"/>
        </w:rPr>
      </w:pPr>
      <w:r w:rsidRPr="0026018F">
        <w:rPr>
          <w:rFonts w:ascii="Times New Roman" w:hAnsi="Times New Roman" w:cs="Times New Roman"/>
          <w:sz w:val="24"/>
          <w:szCs w:val="24"/>
          <w:lang w:val="pt-PT"/>
        </w:rPr>
        <w:t>Enquanto de acordo com</w:t>
      </w:r>
      <w:r w:rsidR="008A00D6" w:rsidRPr="0026018F">
        <w:rPr>
          <w:rFonts w:ascii="Times New Roman" w:hAnsi="Times New Roman" w:cs="Times New Roman"/>
          <w:sz w:val="24"/>
          <w:szCs w:val="24"/>
          <w:lang w:val="pt-PT"/>
        </w:rPr>
        <w:t xml:space="preserve"> Pletsch </w:t>
      </w:r>
      <w:r w:rsidR="008A00D6" w:rsidRPr="00AB228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{"citationItems":[{"id":"ITEM-1","itemData":{"author":[{"dropping-particle":"","family":"PLETSCH","given":"GUILHERME BOLICO","non-dropping-particle":"","parse-names":false,"suffix":""}],"id":"ITEM-1","issued":{"date-parts":[["2020"]]},"title":"MODELO MULTICRITÉRIO PARA SELEÇÃO E AVALIAÇÃO ECONÔMICA DE TECNOLOGIAS DE SEPARAÇÃO DE RESÍDUOS LÁCTEOS","type":"thesis"},"uris":["http://www.mendeley.com/documents/?uuid=411d7cca-93d7-406e-a990-39add99c3f91"]}],"mendeley":{"formattedCitation":"(34)","plainTextFormattedCitation":"(34)","previouslyFormattedCitation":"(33)"},"properties":{"noteIndex":0},"schema":"https://github.com/citation-style-language/schema/raw/master/csl-citation.json"}</w:instrText>
      </w:r>
      <w:r w:rsidR="008A00D6" w:rsidRPr="00AB228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(34)</w:t>
      </w:r>
      <w:r w:rsidR="008A00D6" w:rsidRPr="00AB228B">
        <w:rPr>
          <w:rFonts w:ascii="Times New Roman" w:hAnsi="Times New Roman" w:cs="Times New Roman"/>
          <w:sz w:val="24"/>
          <w:szCs w:val="24"/>
        </w:rPr>
        <w:fldChar w:fldCharType="end"/>
      </w:r>
      <w:r w:rsidR="008A00D6" w:rsidRPr="0026018F">
        <w:rPr>
          <w:rFonts w:ascii="Times New Roman" w:hAnsi="Times New Roman" w:cs="Times New Roman"/>
          <w:sz w:val="24"/>
          <w:szCs w:val="24"/>
          <w:lang w:val="pt-PT"/>
        </w:rPr>
        <w:t xml:space="preserve">, </w:t>
      </w:r>
      <w:r w:rsidRPr="0026018F">
        <w:rPr>
          <w:rFonts w:ascii="Times New Roman" w:hAnsi="Times New Roman" w:cs="Times New Roman"/>
          <w:sz w:val="24"/>
          <w:szCs w:val="24"/>
          <w:lang w:val="pt-PT"/>
        </w:rPr>
        <w:t>o ROIA é a melhor alternativa para estimar ganhos em um projeto de investimento porque a receita gerada pelo projeto é apresentada em forma de porcentagem. De acordo com</w:t>
      </w:r>
      <w:r w:rsidR="008A00D6" w:rsidRPr="0026018F">
        <w:rPr>
          <w:rFonts w:ascii="Times New Roman" w:hAnsi="Times New Roman" w:cs="Times New Roman"/>
          <w:sz w:val="24"/>
          <w:szCs w:val="24"/>
          <w:lang w:val="pt-PT"/>
        </w:rPr>
        <w:t xml:space="preserve"> (Rasoto et al., 2012; Souza</w:t>
      </w:r>
      <w:r w:rsidR="003934A4" w:rsidRPr="0026018F">
        <w:rPr>
          <w:rFonts w:ascii="Times New Roman" w:hAnsi="Times New Roman" w:cs="Times New Roman"/>
          <w:sz w:val="24"/>
          <w:szCs w:val="24"/>
          <w:lang w:val="pt-PT"/>
        </w:rPr>
        <w:t xml:space="preserve"> &amp;Clemente, 2009</w:t>
      </w:r>
      <w:r w:rsidR="008A00D6" w:rsidRPr="0026018F">
        <w:rPr>
          <w:rFonts w:ascii="Times New Roman" w:hAnsi="Times New Roman" w:cs="Times New Roman"/>
          <w:sz w:val="24"/>
          <w:szCs w:val="24"/>
          <w:lang w:val="pt-PT"/>
        </w:rPr>
        <w:t xml:space="preserve">; Clemente, 2012), </w:t>
      </w:r>
      <w:r w:rsidRPr="0026018F">
        <w:rPr>
          <w:rFonts w:ascii="Times New Roman" w:hAnsi="Times New Roman" w:cs="Times New Roman"/>
          <w:sz w:val="24"/>
          <w:szCs w:val="24"/>
          <w:lang w:val="pt-PT"/>
        </w:rPr>
        <w:t xml:space="preserve">o ROIA equivale a um percentual do Valor Econômico Adicionado (EVA). Representa a rentabilidade regular do projeto, além da remuneração de parte do </w:t>
      </w:r>
      <w:r>
        <w:rPr>
          <w:rFonts w:ascii="Times New Roman" w:hAnsi="Times New Roman" w:cs="Times New Roman"/>
          <w:sz w:val="24"/>
          <w:szCs w:val="24"/>
          <w:lang w:val="pt-PT"/>
        </w:rPr>
        <w:t>T</w:t>
      </w:r>
      <w:r w:rsidRPr="0026018F">
        <w:rPr>
          <w:rFonts w:ascii="Times New Roman" w:hAnsi="Times New Roman" w:cs="Times New Roman"/>
          <w:sz w:val="24"/>
          <w:szCs w:val="24"/>
          <w:lang w:val="pt-PT"/>
        </w:rPr>
        <w:t xml:space="preserve">MA </w:t>
      </w:r>
      <w:r w:rsidR="00637897" w:rsidRPr="00AB228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Energy","id":"ITEM-1","issue":"2","issued":{"date-parts":[["2020"]]},"number-of-pages":"339-364","title":"Economic evaluation methodologies for renewable energy projects","type":"report","volume":"8"},"uris":["http://www.mendeley.com/documents/?uuid=1fe5f3e7-b22d-4e41-8980-968b25750983"]}],"mendeley":{"formattedCitation":"(23)","plainTextFormattedCitation":"(23)","previouslyFormattedCitation":"(22)"},"properties":{"noteIndex":0},"schema":"https://github.com/citation-style-language/schema/raw/master/csl-citation.json"}</w:instrText>
      </w:r>
      <w:r w:rsidR="00637897" w:rsidRPr="00AB228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(23)</w:t>
      </w:r>
      <w:r w:rsidR="00637897" w:rsidRPr="00AB228B">
        <w:rPr>
          <w:rFonts w:ascii="Times New Roman" w:hAnsi="Times New Roman" w:cs="Times New Roman"/>
          <w:sz w:val="24"/>
          <w:szCs w:val="24"/>
        </w:rPr>
        <w:fldChar w:fldCharType="end"/>
      </w:r>
      <w:r w:rsidR="001B78BD" w:rsidRPr="0026018F">
        <w:rPr>
          <w:rFonts w:ascii="Times New Roman" w:hAnsi="Times New Roman" w:cs="Times New Roman"/>
          <w:sz w:val="24"/>
          <w:szCs w:val="24"/>
          <w:lang w:val="pt-PT"/>
        </w:rPr>
        <w:t xml:space="preserve"> </w:t>
      </w:r>
      <w:r w:rsidRPr="0026018F">
        <w:rPr>
          <w:rFonts w:ascii="Times New Roman" w:hAnsi="Times New Roman" w:cs="Times New Roman"/>
          <w:sz w:val="24"/>
          <w:szCs w:val="24"/>
          <w:lang w:val="pt-PT"/>
        </w:rPr>
        <w:t>e ainda elimina o efeito cruzado do MRA. O cálculo do ROIA é a seguinte equação</w:t>
      </w:r>
      <w:r>
        <w:rPr>
          <w:rFonts w:ascii="Times New Roman" w:hAnsi="Times New Roman" w:cs="Times New Roman"/>
          <w:sz w:val="24"/>
          <w:szCs w:val="24"/>
          <w:lang w:val="pt-PT"/>
        </w:rPr>
        <w:t xml:space="preserve"> 6</w:t>
      </w:r>
      <w:r w:rsidR="008A00D6" w:rsidRPr="0026018F">
        <w:rPr>
          <w:rFonts w:ascii="Times New Roman" w:hAnsi="Times New Roman" w:cs="Times New Roman"/>
          <w:sz w:val="24"/>
          <w:szCs w:val="24"/>
          <w:lang w:val="pt-PT"/>
        </w:rPr>
        <w:t xml:space="preserve"> </w:t>
      </w:r>
      <w:r w:rsidR="008A00D6" w:rsidRPr="00AB228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{"citationItems":[{"id":"ITEM-1","itemData":{"ISBN":"9788578417857","author":[{"dropping-particle":"","family":"Rasoto","given":"Armando","non-dropping-particle":"","parse-names":false,"suffix":""},{"dropping-particle":"","family":"Gnoatto","given":"Almir Antonio","non-dropping-particle":"","parse-names":false,"suffix":""},{"dropping-particle":"de","family":"Oliveira","given":"Antonio Gonçalves","non-dropping-particle":"","parse-names":false,"suffix":""},{"dropping-particle":"da","family":"Rosa","given":"Cleverson Flor","non-dropping-particle":"","parse-names":false,"suffix":""},{"dropping-particle":"","family":"Ishikawa","given":"Gerson","non-dropping-particle":"","parse-names":false,"suffix":""},{"dropping-particle":"de","family":"Carvalho","given":"Hilda Alberton","non-dropping-particle":"","parse-names":false,"suffix":""},{"dropping-particle":"de","family":"Lima","given":"Isaura Alberton","non-dropping-particle":"","parse-names":false,"suffix":""},{"dropping-particle":"de","family":"Lima","given":"José Donizetti","non-dropping-particle":"","parse-names":false,"suffix":""},{"dropping-particle":"","family":"Trentin","given":"Marcelo Gonçalves","non-dropping-particle":"","parse-names":false,"suffix":""},{"dropping-particle":"","family":"Rasoto","given":"Vanessa Ishikawa","non-dropping-particle":"","parse-names":false,"suffix":""}],"id":"ITEM-1","issued":{"date-parts":[["2012"]]},"title":"Gestão Financeira : enfoque em Inovação","type":"book"},"uris":["http://www.mendeley.com/documents/?uuid=932f105e-e6b8-4fa0-b5bf-5d4aef30dfc8"]}],"mendeley":{"formattedCitation":"(35)","plainTextFormattedCitation":"(35)","previouslyFormattedCitation":"(34)"},"properties":{"noteIndex":0},"schema":"https://github.com/citation-style-language/schema/raw/master/csl-citation.json"}</w:instrText>
      </w:r>
      <w:r w:rsidR="008A00D6" w:rsidRPr="00AB228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(35)</w:t>
      </w:r>
      <w:r w:rsidR="008A00D6" w:rsidRPr="00AB228B">
        <w:rPr>
          <w:rFonts w:ascii="Times New Roman" w:hAnsi="Times New Roman" w:cs="Times New Roman"/>
          <w:sz w:val="24"/>
          <w:szCs w:val="24"/>
        </w:rPr>
        <w:fldChar w:fldCharType="end"/>
      </w:r>
      <w:r w:rsidR="008A00D6" w:rsidRPr="0026018F">
        <w:rPr>
          <w:rFonts w:ascii="Times New Roman" w:hAnsi="Times New Roman" w:cs="Times New Roman"/>
          <w:sz w:val="24"/>
          <w:szCs w:val="24"/>
          <w:lang w:val="pt-PT"/>
        </w:rPr>
        <w:t>.</w:t>
      </w:r>
    </w:p>
    <w:p w14:paraId="2A50F45F" w14:textId="77777777" w:rsidR="008A00D6" w:rsidRPr="0026018F" w:rsidRDefault="008A00D6" w:rsidP="00691500">
      <w:pPr>
        <w:spacing w:after="0" w:line="360" w:lineRule="auto"/>
        <w:ind w:left="1134" w:firstLine="709"/>
        <w:jc w:val="both"/>
        <w:rPr>
          <w:lang w:val="pt-PT"/>
        </w:rPr>
      </w:pPr>
    </w:p>
    <w:p w14:paraId="0079B577" w14:textId="4B8DC294" w:rsidR="0026018F" w:rsidRDefault="008A00D6" w:rsidP="00691500">
      <w:pPr>
        <w:spacing w:after="0" w:line="360" w:lineRule="auto"/>
        <w:ind w:left="1134"/>
        <w:jc w:val="both"/>
        <w:rPr>
          <w:rFonts w:ascii="Times New Roman" w:hAnsi="Times New Roman" w:cs="Times New Roman"/>
          <w:sz w:val="24"/>
          <w:szCs w:val="24"/>
          <w:lang w:val="pt-PT"/>
        </w:rPr>
      </w:pPr>
      <w:r w:rsidRPr="0026018F">
        <w:rPr>
          <w:rFonts w:ascii="Times New Roman" w:hAnsi="Times New Roman" w:cs="Times New Roman"/>
          <w:sz w:val="24"/>
          <w:szCs w:val="24"/>
          <w:lang w:val="pt-PT"/>
        </w:rPr>
        <w:t xml:space="preserve">ROIA = </w:t>
      </w:r>
      <m:oMath>
        <m:rad>
          <m:radPr>
            <m:ctrlPr>
              <w:rPr>
                <w:rFonts w:ascii="Cambria Math" w:hAnsi="Cambria Math" w:cs="Times New Roman"/>
                <w:i/>
                <w:sz w:val="24"/>
                <w:szCs w:val="24"/>
              </w:rPr>
            </m:ctrlPr>
          </m:radPr>
          <m:deg>
            <m:r>
              <w:rPr>
                <w:rFonts w:ascii="Cambria Math" w:hAnsi="Cambria Math" w:cs="Times New Roman"/>
                <w:sz w:val="24"/>
                <w:szCs w:val="24"/>
              </w:rPr>
              <m:t>n</m:t>
            </m:r>
          </m:deg>
          <m:e>
            <m:r>
              <w:rPr>
                <w:rFonts w:ascii="Cambria Math" w:hAnsi="Cambria Math" w:cs="Times New Roman"/>
                <w:sz w:val="24"/>
                <w:szCs w:val="24"/>
              </w:rPr>
              <m:t>IBC</m:t>
            </m:r>
            <m:r>
              <w:rPr>
                <w:rFonts w:ascii="Cambria Math" w:hAnsi="Cambria Math" w:cs="Times New Roman"/>
                <w:sz w:val="24"/>
                <w:szCs w:val="24"/>
                <w:lang w:val="pt-PT"/>
              </w:rPr>
              <m:t xml:space="preserve"> </m:t>
            </m:r>
          </m:e>
        </m:rad>
      </m:oMath>
      <w:r w:rsidRPr="0026018F">
        <w:rPr>
          <w:rFonts w:ascii="Times New Roman" w:hAnsi="Times New Roman" w:cs="Times New Roman"/>
          <w:sz w:val="24"/>
          <w:szCs w:val="24"/>
          <w:lang w:val="pt-PT"/>
        </w:rPr>
        <w:t xml:space="preserve"> - 1</w:t>
      </w:r>
      <w:r w:rsidR="0026018F">
        <w:rPr>
          <w:rFonts w:ascii="Times New Roman" w:hAnsi="Times New Roman" w:cs="Times New Roman"/>
          <w:sz w:val="24"/>
          <w:szCs w:val="24"/>
          <w:lang w:val="pt-PT"/>
        </w:rPr>
        <w:t xml:space="preserve">                                                                                 (equação 6)</w:t>
      </w:r>
      <w:r w:rsidR="0026018F" w:rsidRPr="0026018F">
        <w:rPr>
          <w:rFonts w:ascii="Times New Roman" w:hAnsi="Times New Roman" w:cs="Times New Roman"/>
          <w:sz w:val="24"/>
          <w:szCs w:val="24"/>
          <w:lang w:val="pt-PT"/>
        </w:rPr>
        <w:t xml:space="preserve">  </w:t>
      </w:r>
      <w:r w:rsidRPr="0026018F">
        <w:rPr>
          <w:rFonts w:ascii="Times New Roman" w:hAnsi="Times New Roman" w:cs="Times New Roman"/>
          <w:sz w:val="24"/>
          <w:szCs w:val="24"/>
          <w:lang w:val="pt-PT"/>
        </w:rPr>
        <w:t xml:space="preserve"> </w:t>
      </w:r>
    </w:p>
    <w:p w14:paraId="7EBBAA3D" w14:textId="2700F6F8" w:rsidR="008A00D6" w:rsidRPr="0026018F" w:rsidRDefault="0026018F" w:rsidP="00691500">
      <w:pPr>
        <w:spacing w:after="0" w:line="360" w:lineRule="auto"/>
        <w:ind w:left="1134" w:firstLine="709"/>
        <w:jc w:val="both"/>
        <w:rPr>
          <w:rFonts w:ascii="Times New Roman" w:hAnsi="Times New Roman" w:cs="Times New Roman"/>
          <w:color w:val="4472C4" w:themeColor="accent1"/>
          <w:sz w:val="24"/>
          <w:szCs w:val="24"/>
          <w:lang w:val="pt-PT"/>
        </w:rPr>
      </w:pPr>
      <w:r>
        <w:rPr>
          <w:rFonts w:ascii="Times New Roman" w:hAnsi="Times New Roman" w:cs="Times New Roman"/>
          <w:sz w:val="24"/>
          <w:szCs w:val="24"/>
          <w:lang w:val="pt-PT"/>
        </w:rPr>
        <w:t xml:space="preserve">Quando </w:t>
      </w:r>
      <w:r w:rsidR="008A00D6" w:rsidRPr="0026018F">
        <w:rPr>
          <w:rFonts w:ascii="Times New Roman" w:hAnsi="Times New Roman" w:cs="Times New Roman"/>
          <w:sz w:val="24"/>
          <w:szCs w:val="24"/>
          <w:lang w:val="pt-PT"/>
        </w:rPr>
        <w:t xml:space="preserve">n </w:t>
      </w:r>
      <w:r w:rsidRPr="0026018F">
        <w:rPr>
          <w:rFonts w:ascii="Times New Roman" w:hAnsi="Times New Roman" w:cs="Times New Roman"/>
          <w:sz w:val="24"/>
          <w:szCs w:val="24"/>
          <w:lang w:val="pt-PT"/>
        </w:rPr>
        <w:t xml:space="preserve">significa tempo do planejamento </w:t>
      </w:r>
      <w:r>
        <w:rPr>
          <w:rFonts w:ascii="Times New Roman" w:hAnsi="Times New Roman" w:cs="Times New Roman"/>
          <w:sz w:val="24"/>
          <w:szCs w:val="24"/>
          <w:lang w:val="pt-PT"/>
        </w:rPr>
        <w:t xml:space="preserve">e </w:t>
      </w:r>
      <w:r w:rsidR="008A00D6" w:rsidRPr="0026018F">
        <w:rPr>
          <w:rFonts w:ascii="Times New Roman" w:hAnsi="Times New Roman" w:cs="Times New Roman"/>
          <w:sz w:val="24"/>
          <w:szCs w:val="24"/>
          <w:lang w:val="pt-PT"/>
        </w:rPr>
        <w:t xml:space="preserve">IBC </w:t>
      </w:r>
      <w:r>
        <w:rPr>
          <w:rFonts w:ascii="Times New Roman" w:hAnsi="Times New Roman" w:cs="Times New Roman"/>
          <w:sz w:val="24"/>
          <w:szCs w:val="24"/>
          <w:lang w:val="pt-PT"/>
        </w:rPr>
        <w:t xml:space="preserve">Indice de Custo-Beneficio </w:t>
      </w:r>
      <w:r w:rsidRPr="00AB228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{"citationItems":[{"id":"ITEM-1","itemData":{"ISBN":"9788578417857","author":[{"dropping-particle":"","family":"Rasoto","given":"Armando","non-dropping-particle":"","parse-names":false,"suffix":""},{"dropping-particle":"","family":"Gnoatto","given":"Almir Antonio","non-dropping-particle":"","parse-names":false,"suffix":""},{"dropping-particle":"de","family":"Oliveira","given":"Antonio Gonçalves","non-dropping-particle":"","parse-names":false,"suffix":""},{"dropping-particle":"da","family":"Rosa","given":"Cleverson Flor","non-dropping-particle":"","parse-names":false,"suffix":""},{"dropping-particle":"","family":"Ishikawa","given":"Gerson","non-dropping-particle":"","parse-names":false,"suffix":""},{"dropping-particle":"de","family":"Carvalho","given":"Hilda Alberton","non-dropping-particle":"","parse-names":false,"suffix":""},{"dropping-particle":"de","family":"Lima","given":"Isaura Alberton","non-dropping-particle":"","parse-names":false,"suffix":""},{"dropping-particle":"de","family":"Lima","given":"José Donizetti","non-dropping-particle":"","parse-names":false,"suffix":""},{"dropping-particle":"","family":"Trentin","given":"Marcelo Gonçalves","non-dropping-particle":"","parse-names":false,"suffix":""},{"dropping-particle":"","family":"Rasoto","given":"Vanessa Ishikawa","non-dropping-particle":"","parse-names":false,"suffix":""}],"id":"ITEM-1","issued":{"date-parts":[["2012"]]},"title":"Gestão Financeira : enfoque em Inovação","type":"book"},"uris":["http://www.mendeley.com/documents/?uuid=932f105e-e6b8-4fa0-b5bf-5d4aef30dfc8"]}],"mendeley":{"formattedCitation":"(35)","plainTextFormattedCitation":"(35)","previouslyFormattedCitation":"(34)"},"properties":{"noteIndex":0},"schema":"https://github.com/citation-style-language/schema/raw/master/csl-citation.json"}</w:instrText>
      </w:r>
      <w:r w:rsidRPr="00AB228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(35)</w:t>
      </w:r>
      <w:r w:rsidRPr="00AB228B">
        <w:rPr>
          <w:rFonts w:ascii="Times New Roman" w:hAnsi="Times New Roman" w:cs="Times New Roman"/>
          <w:sz w:val="24"/>
          <w:szCs w:val="24"/>
        </w:rPr>
        <w:fldChar w:fldCharType="end"/>
      </w:r>
      <w:r w:rsidRPr="0026018F">
        <w:rPr>
          <w:rFonts w:ascii="Times New Roman" w:hAnsi="Times New Roman" w:cs="Times New Roman"/>
          <w:color w:val="4472C4" w:themeColor="accent1"/>
          <w:sz w:val="24"/>
          <w:szCs w:val="24"/>
          <w:lang w:val="pt-PT"/>
        </w:rPr>
        <w:t xml:space="preserve"> </w:t>
      </w:r>
      <w:r>
        <w:rPr>
          <w:rFonts w:ascii="Times New Roman" w:hAnsi="Times New Roman" w:cs="Times New Roman"/>
          <w:sz w:val="24"/>
          <w:szCs w:val="24"/>
          <w:lang w:val="pt-PT"/>
        </w:rPr>
        <w:t xml:space="preserve">                                                                                   </w:t>
      </w:r>
      <w:r w:rsidR="008A00D6" w:rsidRPr="0026018F">
        <w:rPr>
          <w:rFonts w:ascii="Times New Roman" w:hAnsi="Times New Roman" w:cs="Times New Roman"/>
          <w:color w:val="4472C4" w:themeColor="accent1"/>
          <w:sz w:val="24"/>
          <w:szCs w:val="24"/>
          <w:lang w:val="pt-PT"/>
        </w:rPr>
        <w:t xml:space="preserve">               </w:t>
      </w:r>
    </w:p>
    <w:p w14:paraId="26252DCD" w14:textId="17C00AD0" w:rsidR="00CD2647" w:rsidRPr="0026018F" w:rsidRDefault="00CD2647" w:rsidP="00691500">
      <w:pPr>
        <w:spacing w:after="0" w:line="360" w:lineRule="auto"/>
        <w:ind w:left="1134" w:firstLine="709"/>
        <w:jc w:val="both"/>
        <w:rPr>
          <w:rFonts w:ascii="Times New Roman" w:hAnsi="Times New Roman" w:cs="Times New Roman"/>
          <w:color w:val="4472C4" w:themeColor="accent1"/>
          <w:sz w:val="24"/>
          <w:szCs w:val="24"/>
          <w:lang w:val="pt-PT"/>
        </w:rPr>
      </w:pPr>
    </w:p>
    <w:p w14:paraId="4D4C4D50" w14:textId="2D9994A5" w:rsidR="00565CF1" w:rsidRPr="0026018F" w:rsidRDefault="0026018F" w:rsidP="00691500">
      <w:pPr>
        <w:pStyle w:val="Ttulo3"/>
        <w:numPr>
          <w:ilvl w:val="3"/>
          <w:numId w:val="6"/>
        </w:numPr>
        <w:spacing w:before="0" w:line="360" w:lineRule="auto"/>
        <w:ind w:left="1134" w:firstLine="709"/>
        <w:jc w:val="both"/>
        <w:rPr>
          <w:rFonts w:ascii="Times New Roman" w:hAnsi="Times New Roman" w:cs="Times New Roman"/>
          <w:color w:val="000000" w:themeColor="text1"/>
          <w:sz w:val="32"/>
          <w:szCs w:val="32"/>
          <w:lang w:val="pt-PT"/>
        </w:rPr>
      </w:pPr>
      <w:r w:rsidRPr="0026018F">
        <w:rPr>
          <w:rFonts w:ascii="Times New Roman" w:hAnsi="Times New Roman" w:cs="Times New Roman"/>
          <w:color w:val="000000" w:themeColor="text1"/>
          <w:sz w:val="32"/>
          <w:szCs w:val="32"/>
          <w:lang w:val="pt-PT"/>
        </w:rPr>
        <w:t xml:space="preserve">Análise de Opção </w:t>
      </w:r>
      <w:r w:rsidR="00565CF1" w:rsidRPr="0026018F">
        <w:rPr>
          <w:rFonts w:ascii="Times New Roman" w:hAnsi="Times New Roman" w:cs="Times New Roman"/>
          <w:color w:val="000000" w:themeColor="text1"/>
          <w:sz w:val="32"/>
          <w:szCs w:val="32"/>
          <w:lang w:val="pt-PT"/>
        </w:rPr>
        <w:t>Real (ROA)</w:t>
      </w:r>
    </w:p>
    <w:p w14:paraId="2C8B40BC" w14:textId="77777777" w:rsidR="00B3250C" w:rsidRPr="0026018F" w:rsidRDefault="00B3250C" w:rsidP="00691500">
      <w:pPr>
        <w:spacing w:after="0" w:line="360" w:lineRule="auto"/>
        <w:ind w:left="1134" w:firstLine="709"/>
        <w:jc w:val="both"/>
        <w:rPr>
          <w:rFonts w:ascii="Times New Roman" w:hAnsi="Times New Roman" w:cs="Times New Roman"/>
          <w:color w:val="000000" w:themeColor="text1"/>
          <w:sz w:val="32"/>
          <w:szCs w:val="32"/>
          <w:lang w:val="pt-PT"/>
        </w:rPr>
      </w:pPr>
    </w:p>
    <w:p w14:paraId="309FB056" w14:textId="6741D031" w:rsidR="009B7897" w:rsidRPr="00AB0CA9" w:rsidRDefault="00B3250C" w:rsidP="00691500">
      <w:pPr>
        <w:spacing w:after="0" w:line="360" w:lineRule="auto"/>
        <w:ind w:left="1134" w:firstLine="709"/>
        <w:jc w:val="both"/>
        <w:rPr>
          <w:rFonts w:ascii="Times New Roman" w:hAnsi="Times New Roman" w:cs="Times New Roman"/>
          <w:sz w:val="24"/>
          <w:szCs w:val="24"/>
          <w:lang w:val="pt-PT"/>
        </w:rPr>
      </w:pPr>
      <w:r w:rsidRPr="0026018F">
        <w:rPr>
          <w:rFonts w:ascii="Times New Roman" w:hAnsi="Times New Roman"/>
          <w:sz w:val="24"/>
          <w:szCs w:val="24"/>
          <w:lang w:val="pt-PT"/>
        </w:rPr>
        <w:tab/>
      </w:r>
      <w:r w:rsidR="00815F18" w:rsidRPr="00815F18">
        <w:rPr>
          <w:rFonts w:ascii="Times New Roman" w:hAnsi="Times New Roman" w:cs="Times New Roman"/>
          <w:sz w:val="24"/>
          <w:szCs w:val="24"/>
          <w:lang w:val="pt-PT"/>
        </w:rPr>
        <w:t>Alguns projetos de investimento apresentam características específicas que também merecem uma abordagem mais sofisticada. Este é o caso de grandes usinas de energia e ER. Os principais problemas envolvidos são a sua irreversibilidade e a eventual opção de adiar (ou não) o projeto. Portanto, na tomada de decisão ideal, os investidores levam em consideração a irreversibilidade, a incerteza sobre os benefícios futuros e o momento de uma oportunidade de investir</w:t>
      </w:r>
      <w:r w:rsidR="00815F18">
        <w:rPr>
          <w:rFonts w:ascii="Times New Roman" w:hAnsi="Times New Roman" w:cs="Times New Roman"/>
          <w:sz w:val="24"/>
          <w:szCs w:val="24"/>
          <w:lang w:val="pt-PT"/>
        </w:rPr>
        <w:t xml:space="preserve"> </w:t>
      </w:r>
      <w:r w:rsidR="0038269F">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{"citationItems":[{"id":"ITEM-1","itemData":{"DOI":"10.2307/j.ctt7sncv.4","abstract":"This paper determines the time series behavior of investment, output, and prices in a competitive industry with a stochastic demand. It is shown, first, that the equilibrium development for the industry solves a particular dynamic programming problem (maximization of \"consumer surplus\"). This problem is then studied to determine the characteristics of the equilibrium paths. CR - Copyright &amp;169; 1971 The Econometric Society","author":[{"dropping-particle":"","family":"Dixit","given":"Avinash K.","non-dropping-particle":"","parse-names":false,"suffix":""},{"dropping-particle":"","family":"Pindyck","given":"Robert S.","non-dropping-particle":"","parse-names":false,"suffix":""}],"container-title":"Investment under Uncertainty","id":"ITEM-1","issued":{"date-parts":[["2019"]]},"page":"3-25","title":"A New View of Investment","type":"chapter"},"uris":["http://www.mendeley.com/documents/?uuid=236c92f5-a3ce-42f9-8980-19df944275f2"]}],"mendeley":{"formattedCitation":"(16)","plainTextFormattedCitation":"(16)","previouslyFormattedCitation":"(15)"},"properties":{"noteIndex":0},"schema":"https://github.com/citation-style-language/schema/raw/master/csl-citation.json"}</w:instrText>
      </w:r>
      <w:r w:rsidR="0038269F">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(16)</w:t>
      </w:r>
      <w:r w:rsidR="0038269F">
        <w:rPr>
          <w:rFonts w:ascii="Times New Roman" w:hAnsi="Times New Roman" w:cs="Times New Roman"/>
          <w:sz w:val="24"/>
          <w:szCs w:val="24"/>
        </w:rPr>
        <w:fldChar w:fldCharType="end"/>
      </w:r>
      <w:r w:rsidR="003C63A3" w:rsidRPr="00815F18">
        <w:rPr>
          <w:rFonts w:ascii="Times New Roman" w:hAnsi="Times New Roman" w:cs="Times New Roman"/>
          <w:sz w:val="24"/>
          <w:szCs w:val="24"/>
          <w:lang w:val="pt-PT"/>
        </w:rPr>
        <w:t>.</w:t>
      </w:r>
      <w:r w:rsidR="0090339C" w:rsidRPr="00815F18">
        <w:rPr>
          <w:rFonts w:ascii="Times New Roman" w:hAnsi="Times New Roman" w:cs="Times New Roman"/>
          <w:sz w:val="24"/>
          <w:szCs w:val="24"/>
          <w:lang w:val="pt-PT"/>
        </w:rPr>
        <w:t xml:space="preserve">  </w:t>
      </w:r>
      <w:r w:rsidR="00815F18" w:rsidRPr="00815F18">
        <w:rPr>
          <w:rFonts w:ascii="Times New Roman" w:hAnsi="Times New Roman" w:cs="Times New Roman"/>
          <w:sz w:val="24"/>
          <w:szCs w:val="24"/>
          <w:lang w:val="pt-PT"/>
        </w:rPr>
        <w:t xml:space="preserve">Diante do exposto, vemos atualmente que as decisões no mercado de geração de energia renovável exigem uma avaliação de investimento mais precisa do que as teorias tradicionais realizam e, ao mesmo tempo, não consideram o valor da incerteza e a flexibilidade da gestão do investimento. Dessa forma, o método das opções reais permite verificar com maior precisão o melhor momento que um determinado investimento deve ser feito, levando em consideração o chamado </w:t>
      </w:r>
      <w:r w:rsidR="00815F18" w:rsidRPr="00815F18">
        <w:rPr>
          <w:rFonts w:ascii="Times New Roman" w:hAnsi="Times New Roman" w:cs="Times New Roman"/>
          <w:sz w:val="24"/>
          <w:szCs w:val="24"/>
          <w:lang w:val="pt-PT"/>
        </w:rPr>
        <w:lastRenderedPageBreak/>
        <w:t xml:space="preserve">“timing” do próprio investimento, além do valor da incerteza, que é igualmente importante em suas decisões </w:t>
      </w:r>
      <w:r w:rsidR="003613F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Energy","id":"ITEM-1","issue":"2","issued":{"date-parts":[["2020"]]},"number-of-pages":"339-364","title":"Economic evaluation methodologies for renewable energy projects","type":"report","volume":"8"},"uris":["http://www.mendeley.com/documents/?uuid=1fe5f3e7-b22d-4e41-8980-968b25750983"]},{"id":"ITEM-2","itemData":{"DOI":"10.1016/j.rser.2016.11.073","ISSN":"18790690","abstract":"Renewable energy projects in developing countries should provide clean energy supply as well as support sustainable economic development. To this end, risks arising from uncertainties such as rapidly changing technologies and host government conditions should be carefully addressed. However, traditional methods for economic assessment are not adequate to support decision-making regarding investments in renewable energy. This paper proposes a real options analysis framework as a tool to assess renewable energy investment in developing countries. A case study involving a hydropower project in Indonesia was conducted to validate and verify the proposed framework. This framework is expected to help host countries and investors assess renewable energy projects with high volatility and risk.","author":[{"dropping-particle":"","family":"Kim","given":"Kyeongseok","non-dropping-particle":"","parse-names":false,"suffix":""},{"dropping-particle":"","family":"Park","given":"Hyoungbae","non-dropping-particle":"","parse-names":false,"suffix":""},{"dropping-particle":"","family":"Kim","given":"Hyoungkwan","non-dropping-particle":"","parse-names":false,"suffix":""}],"container-title":"Renewable and Sustainable Energy Reviews","id":"ITEM-2","issue":"October 2015","issued":{"date-parts":[["2017"]]},"page":"918-926","publisher":"Elsevier","title":"Real options analysis for renewable energy investment decisions in developing countries","type":"article-journal","volume":"75"},"uris":["http://www.mendeley.com/documents/?uuid=47140e3d-7d44-4a43-ac54-e3668947f52a"]}],"mendeley":{"formattedCitation":"(23,36)","plainTextFormattedCitation":"(23,36)","previouslyFormattedCitation":"(22,35)"},"properties":{"noteIndex":0},"schema":"https://github.com/citation-style-language/schema/raw/master/csl-citation.json"}</w:instrText>
      </w:r>
      <w:r w:rsidR="003613F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(23,36)</w:t>
      </w:r>
      <w:r w:rsidR="003613FB">
        <w:rPr>
          <w:rFonts w:ascii="Times New Roman" w:hAnsi="Times New Roman" w:cs="Times New Roman"/>
          <w:sz w:val="24"/>
          <w:szCs w:val="24"/>
        </w:rPr>
        <w:fldChar w:fldCharType="end"/>
      </w:r>
      <w:r w:rsidR="00F005F2" w:rsidRPr="00AB0CA9">
        <w:rPr>
          <w:rFonts w:ascii="Times New Roman" w:hAnsi="Times New Roman" w:cs="Times New Roman"/>
          <w:sz w:val="24"/>
          <w:szCs w:val="24"/>
          <w:lang w:val="pt-PT"/>
        </w:rPr>
        <w:t xml:space="preserve">. </w:t>
      </w:r>
    </w:p>
    <w:p w14:paraId="5CD6DCB0" w14:textId="1A687932" w:rsidR="00815F18" w:rsidRPr="00815F18" w:rsidRDefault="00815F18" w:rsidP="00691500">
      <w:pPr>
        <w:spacing w:after="0" w:line="360" w:lineRule="auto"/>
        <w:ind w:left="1134" w:firstLine="709"/>
        <w:jc w:val="both"/>
        <w:rPr>
          <w:rFonts w:ascii="Times New Roman" w:hAnsi="Times New Roman" w:cs="Times New Roman"/>
          <w:sz w:val="24"/>
          <w:szCs w:val="24"/>
          <w:lang w:val="pt-PT"/>
        </w:rPr>
      </w:pPr>
      <w:r w:rsidRPr="00815F18">
        <w:rPr>
          <w:rFonts w:ascii="Times New Roman" w:hAnsi="Times New Roman" w:cs="Times New Roman"/>
          <w:sz w:val="24"/>
          <w:szCs w:val="24"/>
          <w:lang w:val="pt-PT"/>
        </w:rPr>
        <w:t>De acordo com</w:t>
      </w:r>
      <w:r w:rsidR="00321DAF" w:rsidRPr="00815F18">
        <w:rPr>
          <w:rFonts w:ascii="Times New Roman" w:hAnsi="Times New Roman" w:cs="Times New Roman"/>
          <w:sz w:val="24"/>
          <w:szCs w:val="24"/>
          <w:lang w:val="pt-PT"/>
        </w:rPr>
        <w:t xml:space="preserve"> Dranka et al </w:t>
      </w:r>
      <w:r w:rsidR="00321DAF" w:rsidRPr="00E01CE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Energy","id":"ITEM-1","issue":"2","issued":{"date-parts":[["2020"]]},"number-of-pages":"339-364","title":"Economic evaluation methodologies for renewable energy projects","type":"report","volume":"8"},"uris":["http://www.mendeley.com/documents/?uuid=1fe5f3e7-b22d-4e41-8980-968b25750983"]}],"mendeley":{"formattedCitation":"(23)","plainTextFormattedCitation":"(23)","previouslyFormattedCitation":"(22)"},"properties":{"noteIndex":0},"schema":"https://github.com/citation-style-language/schema/raw/master/csl-citation.json"}</w:instrText>
      </w:r>
      <w:r w:rsidR="00321DAF" w:rsidRPr="00E01CE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(23)</w:t>
      </w:r>
      <w:r w:rsidR="00321DAF" w:rsidRPr="00E01CEB">
        <w:rPr>
          <w:rFonts w:ascii="Times New Roman" w:hAnsi="Times New Roman" w:cs="Times New Roman"/>
          <w:sz w:val="24"/>
          <w:szCs w:val="24"/>
        </w:rPr>
        <w:fldChar w:fldCharType="end"/>
      </w:r>
      <w:r w:rsidR="00321DAF" w:rsidRPr="00815F18">
        <w:rPr>
          <w:rFonts w:ascii="Times New Roman" w:hAnsi="Times New Roman" w:cs="Times New Roman"/>
          <w:sz w:val="24"/>
          <w:szCs w:val="24"/>
          <w:lang w:val="pt-PT"/>
        </w:rPr>
        <w:t xml:space="preserve">, </w:t>
      </w:r>
      <w:r w:rsidRPr="00815F18">
        <w:rPr>
          <w:rFonts w:ascii="Times New Roman" w:hAnsi="Times New Roman" w:cs="Times New Roman"/>
          <w:sz w:val="24"/>
          <w:szCs w:val="24"/>
          <w:lang w:val="pt-PT"/>
        </w:rPr>
        <w:t>quanto à Análise de Opções Reais (ROA), levou em consideração aspectos de incerteza, irreversibilidade e flexibilidade nesse tipo de análise para fornecer mais informações aos investidores quanto ao risco e retorno do projeto. Além disso, utilizando a avaliação do ROA, os autores verificaram que os investidores também têm a opção de adiar o projeto e viabilizá-lo no futuro, diminuindo os riscos e incertezas do investimento. Os modelos de opções reais aplicados aos investimentos em energias renováveis permitem não só refletir as opções de investimento dos investidores privados, como também compreender melhor a sua reação aos incentivos definidos pelos decisores políticos. Como a abordagem das opções reais incorpora características como a irreversibilidade do investimento, a incerteza ambiental e as flexibilidades de decisão (nomeadamente, adiamento do investimento), pode ser uma ferramenta muito útil para avaliar os investimentos numa perspetiva privada, uma vez que os investidores podem otimizar as decisões de adiar um investimento e adaptar o tamanho de um projeto. Para projetos de investimento em Energias Renováveis, esta dimensão estratégica é muito importante porque os custos iniciais de investimento são normalmente muito elevados face aos custos operacionais.</w:t>
      </w:r>
    </w:p>
    <w:p w14:paraId="1ECDC31B" w14:textId="2BC9D193" w:rsidR="001378B6" w:rsidRPr="00815F18" w:rsidRDefault="00815F18" w:rsidP="00691500">
      <w:pPr>
        <w:spacing w:after="0" w:line="360" w:lineRule="auto"/>
        <w:ind w:left="1134" w:firstLine="709"/>
        <w:jc w:val="both"/>
        <w:rPr>
          <w:rFonts w:ascii="Times New Roman" w:hAnsi="Times New Roman" w:cs="Times New Roman"/>
          <w:sz w:val="24"/>
          <w:szCs w:val="24"/>
          <w:lang w:val="pt-PT"/>
        </w:rPr>
      </w:pPr>
      <w:r w:rsidRPr="00815F18">
        <w:rPr>
          <w:rFonts w:ascii="Times New Roman" w:hAnsi="Times New Roman" w:cs="Times New Roman"/>
          <w:sz w:val="24"/>
          <w:szCs w:val="24"/>
          <w:lang w:val="pt-PT"/>
        </w:rPr>
        <w:t xml:space="preserve">De acordo com </w:t>
      </w:r>
      <w:r w:rsidR="00524AEC" w:rsidRPr="00815F18">
        <w:rPr>
          <w:rFonts w:ascii="Times New Roman" w:hAnsi="Times New Roman" w:cs="Times New Roman"/>
          <w:sz w:val="24"/>
          <w:szCs w:val="24"/>
          <w:lang w:val="pt-PT"/>
        </w:rPr>
        <w:t>Dranka et al</w:t>
      </w:r>
      <w:r w:rsidR="001378B6" w:rsidRPr="00E01CE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Energy","id":"ITEM-1","issue":"2","issued":{"date-parts":[["2020"]]},"number-of-pages":"339-364","title":"Economic evaluation methodologies for renewable energy projects","type":"report","volume":"8"},"uris":["http://www.mendeley.com/documents/?uuid=1fe5f3e7-b22d-4e41-8980-968b25750983"]}],"mendeley":{"formattedCitation":"(23)","plainTextFormattedCitation":"(23)","previouslyFormattedCitation":"(22)"},"properties":{"noteIndex":0},"schema":"https://github.com/citation-style-language/schema/raw/master/csl-citation.json"}</w:instrText>
      </w:r>
      <w:r w:rsidR="001378B6" w:rsidRPr="00E01CE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(23)</w:t>
      </w:r>
      <w:r w:rsidR="001378B6" w:rsidRPr="00E01CEB">
        <w:rPr>
          <w:rFonts w:ascii="Times New Roman" w:hAnsi="Times New Roman" w:cs="Times New Roman"/>
          <w:sz w:val="24"/>
          <w:szCs w:val="24"/>
        </w:rPr>
        <w:fldChar w:fldCharType="end"/>
      </w:r>
      <w:r w:rsidR="00524AEC" w:rsidRPr="00815F18">
        <w:rPr>
          <w:rFonts w:ascii="Times New Roman" w:hAnsi="Times New Roman" w:cs="Times New Roman"/>
          <w:sz w:val="24"/>
          <w:szCs w:val="24"/>
          <w:lang w:val="pt-PT"/>
        </w:rPr>
        <w:t xml:space="preserve">, </w:t>
      </w:r>
      <w:r w:rsidR="00A77803" w:rsidRPr="00815F18">
        <w:rPr>
          <w:rFonts w:ascii="Times New Roman" w:hAnsi="Times New Roman" w:cs="Times New Roman"/>
          <w:sz w:val="24"/>
          <w:szCs w:val="24"/>
          <w:lang w:val="pt-PT"/>
        </w:rPr>
        <w:t xml:space="preserve">ROA </w:t>
      </w:r>
      <w:r w:rsidRPr="00815F18">
        <w:rPr>
          <w:rFonts w:ascii="Times New Roman" w:hAnsi="Times New Roman" w:cs="Times New Roman"/>
          <w:sz w:val="24"/>
          <w:szCs w:val="24"/>
          <w:lang w:val="pt-PT"/>
        </w:rPr>
        <w:t>é a diferença entre o VPL estendido, que inclui o valor da flexibilidade gerencial, significando principalmente a flexibilidade para postergar uma decisão de investimento, somado ao valor do VPL tradicional, que não leva em consideração a flexibilidade gerencial. O ROA pode ser expresso pela seguinte equação 7</w:t>
      </w:r>
      <w:r w:rsidR="00A77803" w:rsidRPr="00815F18">
        <w:rPr>
          <w:rFonts w:ascii="Times New Roman" w:hAnsi="Times New Roman" w:cs="Times New Roman"/>
          <w:sz w:val="24"/>
          <w:szCs w:val="24"/>
          <w:lang w:val="pt-PT"/>
        </w:rPr>
        <w:t>,</w:t>
      </w:r>
    </w:p>
    <w:p w14:paraId="6B72F006" w14:textId="77777777" w:rsidR="001378B6" w:rsidRPr="00815F18" w:rsidRDefault="001378B6" w:rsidP="00691500">
      <w:pPr>
        <w:spacing w:after="0" w:line="360" w:lineRule="auto"/>
        <w:ind w:left="1134" w:firstLine="709"/>
        <w:jc w:val="both"/>
        <w:rPr>
          <w:rFonts w:ascii="Times New Roman" w:hAnsi="Times New Roman" w:cs="Times New Roman"/>
          <w:sz w:val="24"/>
          <w:szCs w:val="24"/>
          <w:lang w:val="pt-PT"/>
        </w:rPr>
      </w:pPr>
    </w:p>
    <w:p w14:paraId="200C5A5C" w14:textId="678C3F74" w:rsidR="001378B6" w:rsidRPr="00815F18" w:rsidRDefault="00D53C56" w:rsidP="00691500">
      <w:pPr>
        <w:spacing w:after="0" w:line="360" w:lineRule="auto"/>
        <w:ind w:left="1134"/>
        <w:jc w:val="both"/>
        <w:rPr>
          <w:rFonts w:ascii="Times New Roman" w:hAnsi="Times New Roman" w:cs="Times New Roman"/>
          <w:sz w:val="24"/>
          <w:szCs w:val="24"/>
          <w:lang w:val="pt-PT"/>
        </w:rPr>
      </w:pPr>
      <w:r w:rsidRPr="00815F18">
        <w:rPr>
          <w:rFonts w:ascii="Times New Roman" w:hAnsi="Times New Roman" w:cs="Times New Roman"/>
          <w:sz w:val="24"/>
          <w:szCs w:val="24"/>
          <w:lang w:val="pt-PT"/>
        </w:rPr>
        <w:t xml:space="preserve">ROA = </w:t>
      </w:r>
      <m:oMath>
        <m:sSub>
          <m:sSubPr>
            <m:ctrlPr>
              <w:rPr>
                <w:rFonts w:ascii="Cambria Math" w:hAnsi="Cambria Math" w:cs="Times New Roman"/>
                <w:sz w:val="24"/>
                <w:szCs w:val="24"/>
              </w:rPr>
            </m:ctrlPr>
          </m:sSubPr>
          <m:e>
            <m:r>
              <w:rPr>
                <w:rFonts w:ascii="Cambria Math" w:hAnsi="Cambria Math" w:cs="Times New Roman"/>
                <w:sz w:val="24"/>
                <w:szCs w:val="24"/>
              </w:rPr>
              <m:t>NPV</m:t>
            </m:r>
          </m:e>
          <m:sub>
            <m:r>
              <w:rPr>
                <w:rFonts w:ascii="Cambria Math" w:hAnsi="Cambria Math" w:cs="Times New Roman"/>
                <w:sz w:val="24"/>
                <w:szCs w:val="24"/>
              </w:rPr>
              <m:t>extendido</m:t>
            </m:r>
          </m:sub>
        </m:sSub>
      </m:oMath>
      <w:r w:rsidR="001378B6" w:rsidRPr="00815F18">
        <w:rPr>
          <w:rFonts w:ascii="Times New Roman" w:hAnsi="Times New Roman" w:cs="Times New Roman"/>
          <w:sz w:val="24"/>
          <w:szCs w:val="24"/>
          <w:lang w:val="pt-PT"/>
        </w:rPr>
        <w:t xml:space="preserve"> - NPV tradi</w:t>
      </w:r>
      <w:r w:rsidR="00815F18">
        <w:rPr>
          <w:rFonts w:ascii="Times New Roman" w:hAnsi="Times New Roman" w:cs="Times New Roman"/>
          <w:sz w:val="24"/>
          <w:szCs w:val="24"/>
          <w:lang w:val="pt-PT"/>
        </w:rPr>
        <w:t>c</w:t>
      </w:r>
      <w:r w:rsidR="001378B6" w:rsidRPr="00815F18">
        <w:rPr>
          <w:rFonts w:ascii="Times New Roman" w:hAnsi="Times New Roman" w:cs="Times New Roman"/>
          <w:sz w:val="24"/>
          <w:szCs w:val="24"/>
          <w:lang w:val="pt-PT"/>
        </w:rPr>
        <w:t>ional</w:t>
      </w:r>
      <w:r w:rsidRPr="00815F18">
        <w:rPr>
          <w:rFonts w:ascii="Times New Roman" w:hAnsi="Times New Roman" w:cs="Times New Roman"/>
          <w:sz w:val="24"/>
          <w:szCs w:val="24"/>
          <w:lang w:val="pt-PT"/>
        </w:rPr>
        <w:t xml:space="preserve"> </w:t>
      </w:r>
      <w:r w:rsidR="001378B6" w:rsidRPr="00815F18">
        <w:rPr>
          <w:rFonts w:ascii="Times New Roman" w:hAnsi="Times New Roman" w:cs="Times New Roman"/>
          <w:sz w:val="24"/>
          <w:szCs w:val="24"/>
          <w:lang w:val="pt-PT"/>
        </w:rPr>
        <w:t xml:space="preserve"> </w:t>
      </w:r>
      <w:r w:rsidR="001378B6" w:rsidRPr="00E01CE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Energy","id":"ITEM-1","issue":"2","issued":{"date-parts":[["2020"]]},"number-of-pages":"339-364","title":"Economic evaluation methodologies for renewable energy projects","type":"report","volume":"8"},"uris":["http://www.mendeley.com/documents/?uuid=1fe5f3e7-b22d-4e41-8980-968b25750983"]}],"mendeley":{"formattedCitation":"(23)","plainTextFormattedCitation":"(23)","previouslyFormattedCitation":"(22)"},"properties":{"noteIndex":0},"schema":"https://github.com/citation-style-language/schema/raw/master/csl-citation.json"}</w:instrText>
      </w:r>
      <w:r w:rsidR="001378B6" w:rsidRPr="00E01CE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(23)</w:t>
      </w:r>
      <w:r w:rsidR="001378B6" w:rsidRPr="00E01CEB">
        <w:rPr>
          <w:rFonts w:ascii="Times New Roman" w:hAnsi="Times New Roman" w:cs="Times New Roman"/>
          <w:sz w:val="24"/>
          <w:szCs w:val="24"/>
        </w:rPr>
        <w:fldChar w:fldCharType="end"/>
      </w:r>
      <w:r w:rsidR="001378B6" w:rsidRPr="00815F18">
        <w:rPr>
          <w:rFonts w:ascii="Times New Roman" w:hAnsi="Times New Roman" w:cs="Times New Roman"/>
          <w:sz w:val="24"/>
          <w:szCs w:val="24"/>
          <w:lang w:val="pt-PT"/>
        </w:rPr>
        <w:t xml:space="preserve">                                  </w:t>
      </w:r>
      <w:r w:rsidRPr="00815F18">
        <w:rPr>
          <w:rFonts w:ascii="Times New Roman" w:hAnsi="Times New Roman" w:cs="Times New Roman"/>
          <w:sz w:val="24"/>
          <w:szCs w:val="24"/>
          <w:lang w:val="pt-PT"/>
        </w:rPr>
        <w:t xml:space="preserve">   </w:t>
      </w:r>
      <w:r w:rsidR="001378B6" w:rsidRPr="00815F18">
        <w:rPr>
          <w:rFonts w:ascii="Times New Roman" w:hAnsi="Times New Roman" w:cs="Times New Roman"/>
          <w:sz w:val="24"/>
          <w:szCs w:val="24"/>
          <w:lang w:val="pt-PT"/>
        </w:rPr>
        <w:t xml:space="preserve"> (equa</w:t>
      </w:r>
      <w:r w:rsidR="00815F18">
        <w:rPr>
          <w:rFonts w:ascii="Times New Roman" w:hAnsi="Times New Roman" w:cs="Times New Roman"/>
          <w:sz w:val="24"/>
          <w:szCs w:val="24"/>
          <w:lang w:val="pt-PT"/>
        </w:rPr>
        <w:t>ção</w:t>
      </w:r>
      <w:r w:rsidR="001378B6" w:rsidRPr="00815F18">
        <w:rPr>
          <w:rFonts w:ascii="Times New Roman" w:hAnsi="Times New Roman" w:cs="Times New Roman"/>
          <w:sz w:val="24"/>
          <w:szCs w:val="24"/>
          <w:lang w:val="pt-PT"/>
        </w:rPr>
        <w:t xml:space="preserve"> </w:t>
      </w:r>
      <w:r w:rsidR="00815F18" w:rsidRPr="00815F18">
        <w:rPr>
          <w:rFonts w:ascii="Times New Roman" w:hAnsi="Times New Roman" w:cs="Times New Roman"/>
          <w:sz w:val="24"/>
          <w:szCs w:val="24"/>
          <w:lang w:val="pt-PT"/>
        </w:rPr>
        <w:t>7</w:t>
      </w:r>
      <w:r w:rsidR="001378B6" w:rsidRPr="00815F18">
        <w:rPr>
          <w:rFonts w:ascii="Times New Roman" w:hAnsi="Times New Roman" w:cs="Times New Roman"/>
          <w:sz w:val="24"/>
          <w:szCs w:val="24"/>
          <w:lang w:val="pt-PT"/>
        </w:rPr>
        <w:t>)</w:t>
      </w:r>
    </w:p>
    <w:p w14:paraId="0A66DBF6" w14:textId="14F33B6A" w:rsidR="00524AEC" w:rsidRPr="00815F18" w:rsidRDefault="00524AEC" w:rsidP="00691500">
      <w:pPr>
        <w:spacing w:after="0" w:line="360" w:lineRule="auto"/>
        <w:ind w:left="1134" w:firstLine="709"/>
        <w:jc w:val="both"/>
        <w:rPr>
          <w:rFonts w:ascii="Times New Roman" w:hAnsi="Times New Roman" w:cs="Times New Roman"/>
          <w:sz w:val="24"/>
          <w:szCs w:val="24"/>
          <w:lang w:val="pt-PT"/>
        </w:rPr>
      </w:pPr>
    </w:p>
    <w:p w14:paraId="70E6C0BD" w14:textId="558C5F95" w:rsidR="00815F18" w:rsidRPr="00815F18" w:rsidRDefault="00AB6D63" w:rsidP="00691500">
      <w:pPr>
        <w:spacing w:after="0" w:line="360" w:lineRule="auto"/>
        <w:ind w:left="1134" w:firstLine="709"/>
        <w:jc w:val="both"/>
        <w:rPr>
          <w:rFonts w:ascii="Times New Roman" w:hAnsi="Times New Roman" w:cs="Times New Roman"/>
          <w:sz w:val="24"/>
          <w:szCs w:val="24"/>
          <w:lang w:val="pt-PT"/>
        </w:rPr>
      </w:pPr>
      <w:r w:rsidRPr="00815F18">
        <w:rPr>
          <w:rFonts w:ascii="Times New Roman" w:hAnsi="Times New Roman" w:cs="Times New Roman"/>
          <w:sz w:val="24"/>
          <w:szCs w:val="24"/>
          <w:lang w:val="pt-PT"/>
        </w:rPr>
        <w:t xml:space="preserve">Delapedra- Silva et al </w:t>
      </w:r>
      <w:r w:rsidRPr="00E01CE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{"citationItems":[{"id":"ITEM-1","itemData":{"DOI":"10.3390/pr10020184","ISSN":"22279717","abstract":"The financial evaluation of renewable energy sources (RES) projects is well explored in the literature, but many different methods have been followed by different authors. Then, it is important to understand if and how these methods have been changing and what factors may have driven new approaches. Therefore, this article aims to explore the publications on the financial evaluation of RES projects from 2011 to 2020 and to present a critical analysis of the reviewed literature. The methods for evaluating RES projects were grouped into four categories: (i) traditional metrics based on net present value, internal rate of return, and payback period; (ii) levelized cost of electricity; (iii) return on investment approach; and (iv) real options analysis. A quantitative analysis was carried out considering aspects related to the relevance of the authors, productivity by country, and the most relevant journals for each of these groups. Then, a qualitative analysis of the main characteristics of the five most cited articles in each group was conducted. The results show that the more traditional methods are still widely used for the financial evaluation of RES projects. However, approaches based on the levelized cost and real options have been growing in importance to tackle the complex features of financial evaluation and comparison of RES projects.","author":[{"dropping-particle":"","family":"Delapedra-Silva","given":"Vanderson","non-dropping-particle":"","parse-names":false,"suffix":""},{"dropping-particle":"","family":"Ferreira","given":"Paula","non-dropping-particle":"","parse-names":false,"suffix":""},{"dropping-particle":"","family":"Cunha","given":"Jorge","non-dropping-particle":"","parse-names":false,"suffix":""},{"dropping-particle":"","family":"Kimura","given":"Herbert","non-dropping-particle":"","parse-names":false,"suffix":""}],"container-title":"Processes","id":"ITEM-1","issue":"2","issued":{"date-parts":[["2022"]]},"title":"Methods for Financial Assessment of Renewable Energy Projects: A Review","type":"article-journal","volume":"10"},"uris":["http://www.mendeley.com/documents/?uuid=5c97fdd7-6e8b-47f5-be71-fbac2fba7c0b"]}],"mendeley":{"formattedCitation":"(37)","plainTextFormattedCitation":"(37)","previouslyFormattedCitation":"(36)"},"properties":{"noteIndex":0},"schema":"https://github.com/citation-style-language/schema/raw/master/csl-citation.json"}</w:instrText>
      </w:r>
      <w:r w:rsidRPr="00E01CE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(37)</w:t>
      </w:r>
      <w:r w:rsidRPr="00E01CEB">
        <w:rPr>
          <w:rFonts w:ascii="Times New Roman" w:hAnsi="Times New Roman" w:cs="Times New Roman"/>
          <w:sz w:val="24"/>
          <w:szCs w:val="24"/>
        </w:rPr>
        <w:fldChar w:fldCharType="end"/>
      </w:r>
      <w:r w:rsidRPr="00815F18">
        <w:rPr>
          <w:rFonts w:ascii="Times New Roman" w:hAnsi="Times New Roman" w:cs="Times New Roman"/>
          <w:sz w:val="24"/>
          <w:szCs w:val="24"/>
          <w:lang w:val="pt-PT"/>
        </w:rPr>
        <w:t xml:space="preserve">, </w:t>
      </w:r>
      <w:r w:rsidR="00815F18" w:rsidRPr="00815F18">
        <w:rPr>
          <w:rFonts w:ascii="Times New Roman" w:hAnsi="Times New Roman" w:cs="Times New Roman"/>
          <w:sz w:val="24"/>
          <w:szCs w:val="24"/>
          <w:lang w:val="pt-PT"/>
        </w:rPr>
        <w:t xml:space="preserve">indicam o ROA, porém, levantam a limitação da ferramenta ROA devido à complexidade da análise e difícil interpretação, que ainda é considerada uma metodologia complexa. No entanto, o ROA acaba por aprimorar as metodologias mais tradicionais, o NPV, principalmente em termos de incerteza de mercado, pois defendem que o ROA é capaz de considerar risco e flexibilidade gerencial; o período de Payback aponta como métrica complementar </w:t>
      </w:r>
      <w:r w:rsidR="00815F18" w:rsidRPr="00815F18">
        <w:rPr>
          <w:rFonts w:ascii="Times New Roman" w:hAnsi="Times New Roman" w:cs="Times New Roman"/>
          <w:sz w:val="24"/>
          <w:szCs w:val="24"/>
          <w:lang w:val="pt-PT"/>
        </w:rPr>
        <w:lastRenderedPageBreak/>
        <w:t>para o avanço de outros métodos. A mesma conclusão sobre a complexidade do ROA foi destacada po</w:t>
      </w:r>
      <w:r w:rsidR="00C716AD" w:rsidRPr="00815F18">
        <w:rPr>
          <w:rFonts w:ascii="Times New Roman" w:hAnsi="Times New Roman" w:cs="Times New Roman"/>
          <w:sz w:val="24"/>
          <w:szCs w:val="24"/>
          <w:lang w:val="pt-PT"/>
        </w:rPr>
        <w:t xml:space="preserve"> Fernandes et al </w:t>
      </w:r>
      <w:r w:rsidR="00C716AD" w:rsidRPr="00E01CE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author":[{"dropping-particle":"","family":"Fernandes","given":"Bartolomeu","non-dropping-particle":"","parse-names":false,"suffix":""},{"dropping-particle":"","family":"Cunha","given":"Jorge","non-dropping-particle":"","parse-names":false,"suffix":""},{"dropping-particle":"","family":"Ferreira","given":"Paula","non-dropping-particle":"","parse-names":false,"suffix":""}],"container-title":"1st International Conference on Project Economic Evaluation ICOPEV 2011, Guimarães, Portugal","id":"ITEM-1","issued":{"date-parts":[["2011"]]},"number-of-pages":"187-193","title":"Real Options Theory in Comparison To Other Project Evaluation Techniques","type":"report"},"uris":["http://www.mendeley.com/documents/?uuid=14e1f5e8-aa74-4dc3-8fa4-5edc217a61de"]}],"mendeley":{"formattedCitation":"(38)","plainTextFormattedCitation":"(38)","previouslyFormattedCitation":"(37)"},"properties":{"noteIndex":0},"schema":"https://github.com/citation-style-language/schema/raw/master/csl-citation.json"}</w:instrText>
      </w:r>
      <w:r w:rsidR="00C716AD" w:rsidRPr="00E01CE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(38)</w:t>
      </w:r>
      <w:r w:rsidR="00C716AD" w:rsidRPr="00E01CEB">
        <w:rPr>
          <w:rFonts w:ascii="Times New Roman" w:hAnsi="Times New Roman" w:cs="Times New Roman"/>
          <w:sz w:val="24"/>
          <w:szCs w:val="24"/>
        </w:rPr>
        <w:fldChar w:fldCharType="end"/>
      </w:r>
      <w:r w:rsidR="001378B6" w:rsidRPr="00815F18">
        <w:rPr>
          <w:rFonts w:ascii="Times New Roman" w:hAnsi="Times New Roman" w:cs="Times New Roman"/>
          <w:sz w:val="24"/>
          <w:szCs w:val="24"/>
          <w:lang w:val="pt-PT"/>
        </w:rPr>
        <w:t xml:space="preserve">. </w:t>
      </w:r>
      <w:r w:rsidR="00815F18" w:rsidRPr="00815F18">
        <w:rPr>
          <w:rFonts w:ascii="Times New Roman" w:hAnsi="Times New Roman" w:cs="Times New Roman"/>
          <w:sz w:val="24"/>
          <w:szCs w:val="24"/>
          <w:lang w:val="pt-PT"/>
        </w:rPr>
        <w:t>Os Autores</w:t>
      </w:r>
      <w:r w:rsidR="00762A87" w:rsidRPr="00E01CE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author":[{"dropping-particle":"","family":"Fernandes","given":"Bartolomeu","non-dropping-particle":"","parse-names":false,"suffix":""},{"dropping-particle":"","family":"Cunha","given":"Jorge","non-dropping-particle":"","parse-names":false,"suffix":""},{"dropping-particle":"","family":"Ferreira","given":"Paula","non-dropping-particle":"","parse-names":false,"suffix":""}],"container-title":"1st International Conference on Project Economic Evaluation ICOPEV 2011, Guimarães, Portugal","id":"ITEM-1","issued":{"date-parts":[["2011"]]},"number-of-pages":"187-193","title":"Real Options Theory in Comparison To Other Project Evaluation Techniques","type":"report"},"uris":["http://www.mendeley.com/documents/?uuid=14e1f5e8-aa74-4dc3-8fa4-5edc217a61de"]}],"mendeley":{"formattedCitation":"(38)","plainTextFormattedCitation":"(38)","previouslyFormattedCitation":"(37)"},"properties":{"noteIndex":0},"schema":"https://github.com/citation-style-language/schema/raw/master/csl-citation.json"}</w:instrText>
      </w:r>
      <w:r w:rsidR="00762A87" w:rsidRPr="00E01CE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(38)</w:t>
      </w:r>
      <w:r w:rsidR="00762A87" w:rsidRPr="00E01CEB">
        <w:rPr>
          <w:rFonts w:ascii="Times New Roman" w:hAnsi="Times New Roman" w:cs="Times New Roman"/>
          <w:sz w:val="24"/>
          <w:szCs w:val="24"/>
        </w:rPr>
        <w:fldChar w:fldCharType="end"/>
      </w:r>
      <w:r w:rsidR="00762A87" w:rsidRPr="00815F18">
        <w:rPr>
          <w:rFonts w:ascii="Times New Roman" w:hAnsi="Times New Roman" w:cs="Times New Roman"/>
          <w:sz w:val="24"/>
          <w:szCs w:val="24"/>
          <w:lang w:val="pt-PT"/>
        </w:rPr>
        <w:t xml:space="preserve"> </w:t>
      </w:r>
      <w:r w:rsidR="00815F18" w:rsidRPr="00815F18">
        <w:rPr>
          <w:rFonts w:ascii="Times New Roman" w:hAnsi="Times New Roman" w:cs="Times New Roman"/>
          <w:sz w:val="24"/>
          <w:szCs w:val="24"/>
          <w:lang w:val="pt-PT"/>
        </w:rPr>
        <w:t>destacam que a aplicação da técnica de avaliação por ROA é de difícil implementação, devido à medição da incerteza, para a qual são necessárias simulações mais robustas e com maior conhecimento matemático. Dessa forma, verifica a necessidade de tornar os cálculos do ROA menos complexos e facilitar a interpretação das análises. No entanto, eles também apontam as vantagens de aplicar o ROA às metodologias tradicionais de avaliação de investimentos, como VPL e TIR, ao identificar que os métodos tradicionais de fluxo de caixa descontado falham na avaliação de projetos que contêm risco e incerteza de investimento. Podendo avaliá-las muitas vezes como opções desfavoráveis quando na verdade se adiadas e levando em conta as variações do fluxo de caixa, como mudanças de mercado e percepção dos investidores, posteriormente seriam avaliadas como favoráveis.</w:t>
      </w:r>
    </w:p>
    <w:p w14:paraId="65B6E4E6" w14:textId="13C89051" w:rsidR="000A75AE" w:rsidRDefault="00815F18" w:rsidP="00691500">
      <w:pPr>
        <w:spacing w:after="0" w:line="360" w:lineRule="auto"/>
        <w:ind w:left="1134" w:firstLine="709"/>
        <w:jc w:val="both"/>
        <w:rPr>
          <w:rFonts w:ascii="Times New Roman" w:hAnsi="Times New Roman" w:cs="Times New Roman"/>
          <w:sz w:val="24"/>
          <w:szCs w:val="24"/>
          <w:lang w:val="pt-PT"/>
        </w:rPr>
      </w:pPr>
      <w:r w:rsidRPr="00815F18">
        <w:rPr>
          <w:rFonts w:ascii="Times New Roman" w:hAnsi="Times New Roman" w:cs="Times New Roman"/>
          <w:sz w:val="24"/>
          <w:szCs w:val="24"/>
          <w:lang w:val="pt-PT"/>
        </w:rPr>
        <w:t>Resumidamente, os tipos de medidas de avaliação convencionais (VPL, Payback e TIR) mencionados na seção anterior por</w:t>
      </w:r>
      <w:r w:rsidR="000A75AE" w:rsidRPr="00815F18">
        <w:rPr>
          <w:rFonts w:ascii="Times New Roman" w:hAnsi="Times New Roman" w:cs="Times New Roman"/>
          <w:sz w:val="24"/>
          <w:szCs w:val="24"/>
          <w:lang w:val="pt-PT"/>
        </w:rPr>
        <w:t xml:space="preserve"> Dranka et al, 2020 (28); Santos, 2014 (20); Delapedra-Silva et al, 2022 (41); Kierulff, 2008 (37) and; Dalton et al, 2015 (21), </w:t>
      </w:r>
      <w:r w:rsidRPr="00815F18">
        <w:rPr>
          <w:rFonts w:ascii="Times New Roman" w:hAnsi="Times New Roman" w:cs="Times New Roman"/>
          <w:sz w:val="24"/>
          <w:szCs w:val="24"/>
          <w:lang w:val="pt-PT"/>
        </w:rPr>
        <w:t xml:space="preserve">embora amplamente utilizados na literatura atual, não são notoriamente suficientes para suportar tomadas de decisão de investimento com grande variabilidade por si só, pois não levam em conta a irreversibilidade, incerteza e flexibilidade da gestão de um projeto de investimento e o ROA tem, e principalmente, em termos do valor da flexibilidade, fundamental para postergar uma decisão de investimento, somado ao valor do VPL tradicional. O ROI é uma métrica pouco utilizada na maioria das avaliações, mede a relação entre o valor presente dos fluxos de caixa e os investimentos do projeto </w:t>
      </w:r>
      <w:r w:rsidR="00C716AD" w:rsidRPr="00E01CE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{"citationItems":[{"id":"ITEM-1","itemData":{"DOI":"10.1016/j.renene.2014.01.038","ISSN":"09601481","abstract":"Several methods can be employed to evaluate investment in energy production. On one hand, traditional methods (Net Present Value (NPV) or Internal Rate of Return (IRR), for example) ignore certain project characteristics that may influence its evaluation, such as irreversibility, uncertainty and management flexibility. Nevertheless, the Real Option Approach (ROA) has an advantage over the application of traditional methods, since the prior uncertainties are taken into account. Thus, the main objective of this study is to apply ROA to a case-study (mini-hydro plant) through the use of the binomial tree developed by Cox, Ross and Rubinstein in 1979. This study concludes that the value of ROA is higher than the value of NPV because the investor can get better information and uncertainty is reduced when he has the option to defer the investment. In addition to providing a deep analysis on the major gaps in energy investment evaluation, this work contributes to a better understanding of the usefulness of ROA. © 2014 Elsevier Ltd.","author":[{"dropping-particle":"","family":"Santos","given":"Lúcia","non-dropping-particle":"","parse-names":false,"suffix":""},{"dropping-particle":"","family":"Soares","given":"Isabel","non-dropping-particle":"","parse-names":false,"suffix":""},{"dropping-particle":"","family":"Mendes","given":"Carla","non-dropping-particle":"","parse-names":false,"suffix":""},{"dropping-particle":"","family":"Ferreira","given":"Paula","non-dropping-particle":"","parse-names":false,"suffix":""}],"container-title":"Renewable Energy","id":"ITEM-1","issued":{"date-parts":[["2014"]]},"page":"588-594","publisher":"Elsevier Ltd","title":"Real Options versus Traditional Methods to assess Renewable Energy Projects","type":"article-journal","volume":"68"},"uris":["http://www.mendeley.com/documents/?uuid=f9da8d5d-d12d-4a65-82dd-22b66ec8e351"]}],"mendeley":{"formattedCitation":"(14)","plainTextFormattedCitation":"(14)","previouslyFormattedCitation":"(13)"},"properties":{"noteIndex":0},"schema":"https://github.com/citation-style-language/schema/raw/master/csl-citation.json"}</w:instrText>
      </w:r>
      <w:r w:rsidR="00C716AD" w:rsidRPr="00E01CE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(14)</w:t>
      </w:r>
      <w:r w:rsidR="00C716AD" w:rsidRPr="00E01CEB">
        <w:rPr>
          <w:rFonts w:ascii="Times New Roman" w:hAnsi="Times New Roman" w:cs="Times New Roman"/>
          <w:sz w:val="24"/>
          <w:szCs w:val="24"/>
        </w:rPr>
        <w:fldChar w:fldCharType="end"/>
      </w:r>
      <w:r w:rsidR="00E71E4C" w:rsidRPr="00815F18">
        <w:rPr>
          <w:rFonts w:ascii="Times New Roman" w:hAnsi="Times New Roman" w:cs="Times New Roman"/>
          <w:sz w:val="24"/>
          <w:szCs w:val="24"/>
          <w:lang w:val="pt-PT"/>
        </w:rPr>
        <w:t xml:space="preserve">. </w:t>
      </w:r>
      <w:r w:rsidRPr="00815F18">
        <w:rPr>
          <w:rFonts w:ascii="Times New Roman" w:hAnsi="Times New Roman" w:cs="Times New Roman"/>
          <w:sz w:val="24"/>
          <w:szCs w:val="24"/>
          <w:lang w:val="pt-PT"/>
        </w:rPr>
        <w:t xml:space="preserve">Esses métodos acima devem ser aplicados em conjunto com outras metodologias para trazer maior grau de certeza ao resultado final de projetos em energia renovável. Portanto, a aplicação da </w:t>
      </w:r>
      <w:r>
        <w:rPr>
          <w:rFonts w:ascii="Times New Roman" w:hAnsi="Times New Roman" w:cs="Times New Roman"/>
          <w:sz w:val="24"/>
          <w:szCs w:val="24"/>
          <w:lang w:val="pt-PT"/>
        </w:rPr>
        <w:t>TIRM</w:t>
      </w:r>
      <w:r w:rsidRPr="00815F18">
        <w:rPr>
          <w:rFonts w:ascii="Times New Roman" w:hAnsi="Times New Roman" w:cs="Times New Roman"/>
          <w:sz w:val="24"/>
          <w:szCs w:val="24"/>
          <w:lang w:val="pt-PT"/>
        </w:rPr>
        <w:t xml:space="preserve"> é uma alternativa utilizada para melhor lidar com as fragilidades do VPL e da TIR, permitir o estabelecimento de taxas intermediárias de reinvestimento mais realistas </w:t>
      </w:r>
      <w:r w:rsidR="000A75AE" w:rsidRPr="00E01CEB">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{"citationItems":[{"id":"ITEM-1","itemData":{"DOI":"10.1016/j.rser.2015.01.068","ISSN":"18790690","abstract":"This paper provides a comprehensive review of the current state of the art of the economics and socio-economics of ocean renewable energy (ORE); the many ways in which the viability and impacts of an ORE project are assessed, and an analysis of the current weaknesses, issues or inappropriateness of the metrics and methodologies used in their definition and presentation. The outcomes of this paper are anticipated to benefit the ORE and wider renewable sector as a whole. The review revealed that, for the most part, the current study of economics and socio-economics of ORE remain separate and discrete areas of research. The economic methods utilised appear to be comprehensive but are limited to project (or private investor) level. The methods identified for socioeconomic assessment fall between traditional, and now routine, environmental assessment approaches and more novel holistic approaches such as ecosystem services and life cycle assessment. The novel section of the paper explored the connectivity between the economics and socio-economics of ORE in relation to project developments and policy/planning. A visualisation method was created of concentric rings intersected by related axis of economic, socio-economic and environment, and enabled the examination of the benefits arising from the connectivity between the two spheres. The concept of sustainable development process and the integration of environmental assessment for ORE was also explored and how it responds to differing stakeholder aspirations and interpretations. The analysis revealed that there was a divergence between public and private economic and socioeconomic assessments for ORE: environmental assessment is primarily a public responsibility but with significant inputs from the private developer involved while economic assessments are conducted primarily by the developer and/or investor at their own behest. However, the two spheres of economic and socio-economic for ORE are highly connected and synergistic and must be examined in a holistic manner.","author":[{"dropping-particle":"","family":"Dalton","given":"Gordon","non-dropping-particle":"","parse-names":false,"suffix":""},{"dropping-particle":"","family":"Allan","given":"Grant","non-dropping-particle":"","parse-names":false,"suffix":""},{"dropping-particle":"","family":"Beaumont","given":"Nicola","non-dropping-particle":"","parse-names":false,"suffix":""},{"dropping-particle":"","family":"Georgakaki","given":"Aliki","non-dropping-particle":"","parse-names":false,"suffix":""},{"dropping-particle":"","family":"Hacking","given":"Nick","non-dropping-particle":"","parse-names":false,"suffix":""},{"dropping-particle":"","family":"Hooper","given":"Tara","non-dropping-particle":"","parse-names":false,"suffix":""},{"dropping-particle":"","family":"Kerr","given":"Sandy","non-dropping-particle":"","parse-names":false,"suffix":""},{"dropping-particle":"","family":"O'Hagan","given":"Anne Marie","non-dropping-particle":"","parse-names":false,"suffix":""},{"dropping-particle":"","family":"Reilly","given":"Kieran","non-dropping-particle":"","parse-names":false,"suffix":""},{"dropping-particle":"","family":"Ricci","given":"Pierpaolo","non-dropping-particle":"","parse-names":false,"suffix":""},{"dropping-particle":"","family":"Sheng","given":"Wanan","non-dropping-particle":"","parse-names":false,"suffix":""},{"dropping-particle":"","family":"Stallard","given":"Tim","non-dropping-particle":"","parse-names":false,"suffix":""}],"container-title":"Renewable and Sustainable Energy Reviews","id":"ITEM-1","issued":{"date-parts":[["2015"]]},"page":"850-878","publisher":"Elsevier","title":"Economic and socio-economic assessment methods for ocean renewable energy: Public and private perspectives","type":"article-journal","volume":"45"},"uris":["http://www.mendeley.com/documents/?uuid=39a89efa-652d-4e83-bccb-51f611f5144e"]}],"mendeley":{"formattedCitation":"(15)","plainTextFormattedCitation":"(15)","previouslyFormattedCitation":"(14)"},"properties":{"noteIndex":0},"schema":"https://github.com/citation-style-language/schema/raw/master/csl-citation.json"}</w:instrText>
      </w:r>
      <w:r w:rsidR="000A75AE" w:rsidRPr="00E01CEB">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(15)</w:t>
      </w:r>
      <w:r w:rsidR="000A75AE" w:rsidRPr="00E01CEB">
        <w:rPr>
          <w:rFonts w:ascii="Times New Roman" w:hAnsi="Times New Roman" w:cs="Times New Roman"/>
          <w:sz w:val="24"/>
          <w:szCs w:val="24"/>
        </w:rPr>
        <w:fldChar w:fldCharType="end"/>
      </w:r>
      <w:r w:rsidR="000A75AE" w:rsidRPr="00815F18">
        <w:rPr>
          <w:rFonts w:ascii="Times New Roman" w:hAnsi="Times New Roman" w:cs="Times New Roman"/>
          <w:sz w:val="24"/>
          <w:szCs w:val="24"/>
          <w:lang w:val="pt-PT"/>
        </w:rPr>
        <w:t>.</w:t>
      </w:r>
      <w:r w:rsidR="00A8724E" w:rsidRPr="00815F18">
        <w:rPr>
          <w:rFonts w:ascii="Times New Roman" w:hAnsi="Times New Roman" w:cs="Times New Roman"/>
          <w:sz w:val="24"/>
          <w:szCs w:val="24"/>
          <w:lang w:val="pt-PT"/>
        </w:rPr>
        <w:t xml:space="preserve"> </w:t>
      </w:r>
    </w:p>
    <w:p w14:paraId="277B9E4A" w14:textId="77777777" w:rsidR="006658C6" w:rsidRPr="00815F18" w:rsidRDefault="006658C6" w:rsidP="00691500">
      <w:pPr>
        <w:spacing w:after="0" w:line="360" w:lineRule="auto"/>
        <w:ind w:left="1134" w:firstLine="709"/>
        <w:jc w:val="both"/>
        <w:rPr>
          <w:rFonts w:ascii="Times New Roman" w:hAnsi="Times New Roman" w:cs="Times New Roman"/>
          <w:sz w:val="24"/>
          <w:szCs w:val="24"/>
          <w:lang w:val="pt-PT"/>
        </w:rPr>
      </w:pPr>
    </w:p>
    <w:p w14:paraId="28D6F90C" w14:textId="1DEE9F7C" w:rsidR="006658C6" w:rsidRDefault="006658C6" w:rsidP="00691500">
      <w:pPr>
        <w:pStyle w:val="Ttulo3"/>
        <w:numPr>
          <w:ilvl w:val="3"/>
          <w:numId w:val="6"/>
        </w:numPr>
        <w:spacing w:before="0" w:line="360" w:lineRule="auto"/>
        <w:ind w:left="1134" w:firstLine="709"/>
        <w:jc w:val="both"/>
        <w:rPr>
          <w:rFonts w:ascii="Times New Roman" w:hAnsi="Times New Roman" w:cs="Times New Roman"/>
          <w:color w:val="000000" w:themeColor="text1"/>
          <w:sz w:val="32"/>
          <w:szCs w:val="32"/>
          <w:lang w:val="pt-PT"/>
        </w:rPr>
      </w:pPr>
      <w:r>
        <w:rPr>
          <w:rFonts w:ascii="Times New Roman" w:hAnsi="Times New Roman" w:cs="Times New Roman"/>
          <w:color w:val="000000" w:themeColor="text1"/>
          <w:sz w:val="32"/>
          <w:szCs w:val="32"/>
          <w:lang w:val="pt-PT"/>
        </w:rPr>
        <w:t>Anuidade Uniforme Equivalente</w:t>
      </w:r>
      <w:r w:rsidR="00D37FF0">
        <w:rPr>
          <w:rFonts w:ascii="Times New Roman" w:hAnsi="Times New Roman" w:cs="Times New Roman"/>
          <w:color w:val="000000" w:themeColor="text1"/>
          <w:sz w:val="32"/>
          <w:szCs w:val="32"/>
          <w:lang w:val="pt-PT"/>
        </w:rPr>
        <w:t xml:space="preserve"> (AUE)</w:t>
      </w:r>
    </w:p>
    <w:p w14:paraId="32C6AF2F" w14:textId="77777777" w:rsidR="00E37943" w:rsidRDefault="00E37943" w:rsidP="00691500">
      <w:pPr>
        <w:spacing w:after="0" w:line="360" w:lineRule="auto"/>
        <w:ind w:left="1134" w:firstLine="709"/>
        <w:jc w:val="both"/>
        <w:rPr>
          <w:lang w:val="pt-PT"/>
        </w:rPr>
      </w:pPr>
    </w:p>
    <w:p w14:paraId="51862B2F" w14:textId="2B4D9A0C" w:rsidR="00AB0CA9" w:rsidRDefault="00E37943" w:rsidP="00691500">
      <w:pPr>
        <w:spacing w:after="0" w:line="360" w:lineRule="auto"/>
        <w:ind w:left="1134" w:firstLine="709"/>
        <w:jc w:val="both"/>
        <w:rPr>
          <w:rFonts w:ascii="Times New Roman" w:hAnsi="Times New Roman" w:cs="Times New Roman"/>
          <w:sz w:val="24"/>
          <w:szCs w:val="24"/>
          <w:lang w:val="pt-PT"/>
        </w:rPr>
      </w:pPr>
      <w:r w:rsidRPr="00E37943">
        <w:rPr>
          <w:rFonts w:ascii="Times New Roman" w:hAnsi="Times New Roman" w:cs="Times New Roman"/>
          <w:sz w:val="24"/>
          <w:szCs w:val="24"/>
          <w:lang w:val="pt-PT"/>
        </w:rPr>
        <w:lastRenderedPageBreak/>
        <w:t>A Anuidade Uniforme Equivalente</w:t>
      </w:r>
      <w:r w:rsidR="00D37FF0">
        <w:rPr>
          <w:rFonts w:ascii="Times New Roman" w:hAnsi="Times New Roman" w:cs="Times New Roman"/>
          <w:sz w:val="24"/>
          <w:szCs w:val="24"/>
          <w:lang w:val="pt-PT"/>
        </w:rPr>
        <w:t xml:space="preserve"> (AUE)</w:t>
      </w:r>
      <w:r w:rsidRPr="00E37943">
        <w:rPr>
          <w:rFonts w:ascii="Times New Roman" w:hAnsi="Times New Roman" w:cs="Times New Roman"/>
          <w:sz w:val="24"/>
          <w:szCs w:val="24"/>
          <w:lang w:val="pt-PT"/>
        </w:rPr>
        <w:t xml:space="preserve"> também conhecida como Valor Presente Líquido Anulizado</w:t>
      </w:r>
      <w:r w:rsidR="00D37FF0">
        <w:rPr>
          <w:rFonts w:ascii="Times New Roman" w:hAnsi="Times New Roman" w:cs="Times New Roman"/>
          <w:sz w:val="24"/>
          <w:szCs w:val="24"/>
          <w:lang w:val="pt-PT"/>
        </w:rPr>
        <w:t xml:space="preserve"> (VPLA)</w:t>
      </w:r>
      <w:r>
        <w:rPr>
          <w:rFonts w:ascii="Times New Roman" w:hAnsi="Times New Roman" w:cs="Times New Roman"/>
          <w:sz w:val="24"/>
          <w:szCs w:val="24"/>
          <w:lang w:val="pt-PT"/>
        </w:rPr>
        <w:t xml:space="preserve"> </w:t>
      </w:r>
      <w:r w:rsidRPr="00E37943">
        <w:rPr>
          <w:rFonts w:ascii="Times New Roman" w:hAnsi="Times New Roman" w:cs="Times New Roman"/>
          <w:sz w:val="24"/>
          <w:szCs w:val="24"/>
          <w:lang w:val="pt-PT"/>
        </w:rPr>
        <w:t>é o valor da distribuição do</w:t>
      </w:r>
      <w:r>
        <w:rPr>
          <w:rFonts w:ascii="Times New Roman" w:hAnsi="Times New Roman" w:cs="Times New Roman"/>
          <w:sz w:val="24"/>
          <w:szCs w:val="24"/>
          <w:lang w:val="pt-PT"/>
        </w:rPr>
        <w:t xml:space="preserve"> </w:t>
      </w:r>
      <w:r w:rsidR="00B91696">
        <w:rPr>
          <w:rFonts w:ascii="Times New Roman" w:hAnsi="Times New Roman" w:cs="Times New Roman"/>
          <w:sz w:val="24"/>
          <w:szCs w:val="24"/>
          <w:lang w:val="pt-PT"/>
        </w:rPr>
        <w:t>VPL</w:t>
      </w:r>
      <w:r w:rsidRPr="00E37943">
        <w:rPr>
          <w:rFonts w:ascii="Times New Roman" w:hAnsi="Times New Roman" w:cs="Times New Roman"/>
          <w:sz w:val="24"/>
          <w:szCs w:val="24"/>
          <w:lang w:val="pt-PT"/>
        </w:rPr>
        <w:t xml:space="preserve"> por período, durante a vida útil do investimento</w:t>
      </w:r>
      <w:r w:rsidR="00281144">
        <w:rPr>
          <w:rFonts w:ascii="Times New Roman" w:hAnsi="Times New Roman" w:cs="Times New Roman"/>
          <w:sz w:val="24"/>
          <w:szCs w:val="24"/>
          <w:lang w:val="pt-PT"/>
        </w:rPr>
        <w:t xml:space="preserve"> </w:t>
      </w:r>
      <w:r w:rsidR="00281144">
        <w:rPr>
          <w:rFonts w:ascii="Times New Roman" w:hAnsi="Times New Roman" w:cs="Times New Roman"/>
          <w:sz w:val="24"/>
          <w:szCs w:val="24"/>
          <w:lang w:val="pt-PT"/>
        </w:rPr>
        <w:fldChar w:fldCharType="begin" w:fldLock="1"/>
      </w:r>
      <w:r w:rsidR="000E6908">
        <w:rPr>
          <w:rFonts w:ascii="Times New Roman" w:hAnsi="Times New Roman" w:cs="Times New Roman"/>
          <w:sz w:val="24"/>
          <w:szCs w:val="24"/>
          <w:lang w:val="pt-PT"/>
        </w:rPr>
        <w:instrText>ADDIN CSL_CITATION {"citationItems":[{"id":"ITEM-1","itemData":{"DOI":"10.3934/ENERGY.2020.2.339","ISSN":"23338334","abstract":"Typically,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Energy","id":"ITEM-1","issue":"2","issued":{"date-parts":[["2020"]]},"number-of-pages":"339-364","title":"Economic evaluation methodologies for renewable energy projects","type":"report","volume":"8"},"uris":["http://www.mendeley.com/documents/?uuid=1fe5f3e7-b22d-4e41-8980-968b25750983"]}],"mendeley":{"formattedCitation":"(23)","plainTextFormattedCitation":"(23)","previouslyFormattedCitation":"(22)"},"properties":{"noteIndex":0},"schema":"https://github.com/citation-style-language/schema/raw/master/csl-citation.json"}</w:instrText>
      </w:r>
      <w:r w:rsidR="00281144">
        <w:rPr>
          <w:rFonts w:ascii="Times New Roman" w:hAnsi="Times New Roman" w:cs="Times New Roman"/>
          <w:sz w:val="24"/>
          <w:szCs w:val="24"/>
          <w:lang w:val="pt-PT"/>
        </w:rPr>
        <w:fldChar w:fldCharType="separate"/>
      </w:r>
      <w:r w:rsidR="000E6908" w:rsidRPr="000E6908">
        <w:rPr>
          <w:rFonts w:ascii="Times New Roman" w:hAnsi="Times New Roman" w:cs="Times New Roman"/>
          <w:noProof/>
          <w:sz w:val="24"/>
          <w:szCs w:val="24"/>
          <w:lang w:val="pt-PT"/>
        </w:rPr>
        <w:t>(23)</w:t>
      </w:r>
      <w:r w:rsidR="00281144">
        <w:rPr>
          <w:rFonts w:ascii="Times New Roman" w:hAnsi="Times New Roman" w:cs="Times New Roman"/>
          <w:sz w:val="24"/>
          <w:szCs w:val="24"/>
          <w:lang w:val="pt-PT"/>
        </w:rPr>
        <w:fldChar w:fldCharType="end"/>
      </w:r>
      <w:r>
        <w:rPr>
          <w:rFonts w:ascii="Times New Roman" w:hAnsi="Times New Roman" w:cs="Times New Roman"/>
          <w:sz w:val="24"/>
          <w:szCs w:val="24"/>
          <w:lang w:val="pt-PT"/>
        </w:rPr>
        <w:t xml:space="preserve">, ou seja, este método </w:t>
      </w:r>
      <w:r w:rsidRPr="00E37943">
        <w:rPr>
          <w:rFonts w:ascii="Times New Roman" w:hAnsi="Times New Roman" w:cs="Times New Roman"/>
          <w:sz w:val="24"/>
          <w:szCs w:val="24"/>
          <w:lang w:val="pt-PT"/>
        </w:rPr>
        <w:t>é usado para calcular o fluxo de caixa anual constante gerado por um projeto ao longo de sua vida útil</w:t>
      </w:r>
      <w:r w:rsidR="00281144">
        <w:rPr>
          <w:rFonts w:ascii="Times New Roman" w:hAnsi="Times New Roman" w:cs="Times New Roman"/>
          <w:sz w:val="24"/>
          <w:szCs w:val="24"/>
          <w:lang w:val="pt-PT"/>
        </w:rPr>
        <w:t xml:space="preserve"> em tempos diferente.Em casos cujos investimentos são mutuamente excludentes, por exemplo, </w:t>
      </w:r>
      <w:r w:rsidR="00281144" w:rsidRPr="00281144">
        <w:rPr>
          <w:rFonts w:ascii="Times New Roman" w:hAnsi="Times New Roman" w:cs="Times New Roman"/>
          <w:sz w:val="24"/>
          <w:szCs w:val="24"/>
          <w:lang w:val="pt-PT"/>
        </w:rPr>
        <w:t>No caso de projetos mutuamente exclu</w:t>
      </w:r>
      <w:r w:rsidR="00B26A1A">
        <w:rPr>
          <w:rFonts w:ascii="Times New Roman" w:hAnsi="Times New Roman" w:cs="Times New Roman"/>
          <w:sz w:val="24"/>
          <w:szCs w:val="24"/>
          <w:lang w:val="pt-PT"/>
        </w:rPr>
        <w:t xml:space="preserve">dentes </w:t>
      </w:r>
      <w:r w:rsidR="00281144" w:rsidRPr="00281144">
        <w:rPr>
          <w:rFonts w:ascii="Times New Roman" w:hAnsi="Times New Roman" w:cs="Times New Roman"/>
          <w:sz w:val="24"/>
          <w:szCs w:val="24"/>
          <w:lang w:val="pt-PT"/>
        </w:rPr>
        <w:t>com vida</w:t>
      </w:r>
      <w:r w:rsidR="00281144">
        <w:rPr>
          <w:rFonts w:ascii="Times New Roman" w:hAnsi="Times New Roman" w:cs="Times New Roman"/>
          <w:sz w:val="24"/>
          <w:szCs w:val="24"/>
          <w:lang w:val="pt-PT"/>
        </w:rPr>
        <w:t>s</w:t>
      </w:r>
      <w:r w:rsidR="00281144" w:rsidRPr="00281144">
        <w:rPr>
          <w:rFonts w:ascii="Times New Roman" w:hAnsi="Times New Roman" w:cs="Times New Roman"/>
          <w:sz w:val="24"/>
          <w:szCs w:val="24"/>
          <w:lang w:val="pt-PT"/>
        </w:rPr>
        <w:t xml:space="preserve"> </w:t>
      </w:r>
      <w:r w:rsidR="00281144">
        <w:rPr>
          <w:rFonts w:ascii="Times New Roman" w:hAnsi="Times New Roman" w:cs="Times New Roman"/>
          <w:sz w:val="24"/>
          <w:szCs w:val="24"/>
          <w:lang w:val="pt-PT"/>
        </w:rPr>
        <w:t>úteis diferentes</w:t>
      </w:r>
      <w:r w:rsidR="00281144" w:rsidRPr="00281144">
        <w:rPr>
          <w:rFonts w:ascii="Times New Roman" w:hAnsi="Times New Roman" w:cs="Times New Roman"/>
          <w:sz w:val="24"/>
          <w:szCs w:val="24"/>
          <w:lang w:val="pt-PT"/>
        </w:rPr>
        <w:t xml:space="preserve">, </w:t>
      </w:r>
      <w:r w:rsidR="00281144">
        <w:rPr>
          <w:rFonts w:ascii="Times New Roman" w:hAnsi="Times New Roman" w:cs="Times New Roman"/>
          <w:sz w:val="24"/>
          <w:szCs w:val="24"/>
          <w:lang w:val="pt-PT"/>
        </w:rPr>
        <w:t>a seleção do</w:t>
      </w:r>
      <w:r w:rsidR="00281144" w:rsidRPr="00281144">
        <w:rPr>
          <w:rFonts w:ascii="Times New Roman" w:hAnsi="Times New Roman" w:cs="Times New Roman"/>
          <w:sz w:val="24"/>
          <w:szCs w:val="24"/>
          <w:lang w:val="pt-PT"/>
        </w:rPr>
        <w:t xml:space="preserve"> projeto pode ser </w:t>
      </w:r>
      <w:r w:rsidR="00281144">
        <w:rPr>
          <w:rFonts w:ascii="Times New Roman" w:hAnsi="Times New Roman" w:cs="Times New Roman"/>
          <w:sz w:val="24"/>
          <w:szCs w:val="24"/>
          <w:lang w:val="pt-PT"/>
        </w:rPr>
        <w:t>realizada</w:t>
      </w:r>
      <w:r w:rsidR="00281144" w:rsidRPr="00281144">
        <w:rPr>
          <w:rFonts w:ascii="Times New Roman" w:hAnsi="Times New Roman" w:cs="Times New Roman"/>
          <w:sz w:val="24"/>
          <w:szCs w:val="24"/>
          <w:lang w:val="pt-PT"/>
        </w:rPr>
        <w:t xml:space="preserve"> com base no </w:t>
      </w:r>
      <w:r w:rsidR="00B91696">
        <w:rPr>
          <w:rFonts w:ascii="Times New Roman" w:hAnsi="Times New Roman" w:cs="Times New Roman"/>
          <w:sz w:val="24"/>
          <w:szCs w:val="24"/>
          <w:lang w:val="pt-PT"/>
        </w:rPr>
        <w:t>VPL</w:t>
      </w:r>
      <w:r w:rsidR="00281144" w:rsidRPr="00281144">
        <w:rPr>
          <w:rFonts w:ascii="Times New Roman" w:hAnsi="Times New Roman" w:cs="Times New Roman"/>
          <w:sz w:val="24"/>
          <w:szCs w:val="24"/>
          <w:lang w:val="pt-PT"/>
        </w:rPr>
        <w:t xml:space="preserve"> anualizado </w:t>
      </w:r>
      <w:r w:rsidR="00281144">
        <w:rPr>
          <w:rFonts w:ascii="Times New Roman" w:hAnsi="Times New Roman" w:cs="Times New Roman"/>
          <w:sz w:val="24"/>
          <w:szCs w:val="24"/>
          <w:lang w:val="pt-PT"/>
        </w:rPr>
        <w:t xml:space="preserve">cujo projeto </w:t>
      </w:r>
      <w:r w:rsidR="00281144" w:rsidRPr="00281144">
        <w:rPr>
          <w:rFonts w:ascii="Times New Roman" w:hAnsi="Times New Roman" w:cs="Times New Roman"/>
          <w:sz w:val="24"/>
          <w:szCs w:val="24"/>
          <w:lang w:val="pt-PT"/>
        </w:rPr>
        <w:t>com maior valor anualizado</w:t>
      </w:r>
      <w:r w:rsidR="00281144">
        <w:rPr>
          <w:rFonts w:ascii="Times New Roman" w:hAnsi="Times New Roman" w:cs="Times New Roman"/>
          <w:sz w:val="24"/>
          <w:szCs w:val="24"/>
          <w:lang w:val="pt-PT"/>
        </w:rPr>
        <w:t xml:space="preserve"> deve ser escolhido</w:t>
      </w:r>
      <w:r w:rsidR="00B26A1A">
        <w:rPr>
          <w:rFonts w:ascii="Times New Roman" w:hAnsi="Times New Roman" w:cs="Times New Roman"/>
          <w:sz w:val="24"/>
          <w:szCs w:val="24"/>
          <w:lang w:val="pt-PT"/>
        </w:rPr>
        <w:t xml:space="preserve"> e esta caracteristica </w:t>
      </w:r>
      <w:r w:rsidR="00D37FF0">
        <w:rPr>
          <w:rFonts w:ascii="Times New Roman" w:hAnsi="Times New Roman" w:cs="Times New Roman"/>
          <w:sz w:val="24"/>
          <w:szCs w:val="24"/>
          <w:lang w:val="pt-PT"/>
        </w:rPr>
        <w:t>é</w:t>
      </w:r>
      <w:r w:rsidR="00B26A1A">
        <w:rPr>
          <w:rFonts w:ascii="Times New Roman" w:hAnsi="Times New Roman" w:cs="Times New Roman"/>
          <w:sz w:val="24"/>
          <w:szCs w:val="24"/>
          <w:lang w:val="pt-PT"/>
        </w:rPr>
        <w:t xml:space="preserve"> tida vantagem </w:t>
      </w:r>
      <w:r w:rsidR="00D37FF0">
        <w:rPr>
          <w:rFonts w:ascii="Times New Roman" w:hAnsi="Times New Roman" w:cs="Times New Roman"/>
          <w:sz w:val="24"/>
          <w:szCs w:val="24"/>
          <w:lang w:val="pt-PT"/>
        </w:rPr>
        <w:t>n</w:t>
      </w:r>
      <w:r w:rsidR="00B26A1A">
        <w:rPr>
          <w:rFonts w:ascii="Times New Roman" w:hAnsi="Times New Roman" w:cs="Times New Roman"/>
          <w:sz w:val="24"/>
          <w:szCs w:val="24"/>
          <w:lang w:val="pt-PT"/>
        </w:rPr>
        <w:t>o uso desta ferramenta</w:t>
      </w:r>
      <w:r w:rsidR="00725D8C">
        <w:rPr>
          <w:rFonts w:ascii="Times New Roman" w:hAnsi="Times New Roman" w:cs="Times New Roman"/>
          <w:sz w:val="24"/>
          <w:szCs w:val="24"/>
          <w:lang w:val="pt-PT"/>
        </w:rPr>
        <w:t xml:space="preserve"> </w:t>
      </w:r>
      <w:r w:rsidR="00D37FF0">
        <w:rPr>
          <w:rFonts w:ascii="Times New Roman" w:hAnsi="Times New Roman" w:cs="Times New Roman"/>
          <w:sz w:val="24"/>
          <w:szCs w:val="24"/>
          <w:lang w:val="pt-PT"/>
        </w:rPr>
        <w:fldChar w:fldCharType="begin" w:fldLock="1"/>
      </w:r>
      <w:r w:rsidR="000E6908">
        <w:rPr>
          <w:rFonts w:ascii="Times New Roman" w:hAnsi="Times New Roman" w:cs="Times New Roman"/>
          <w:sz w:val="24"/>
          <w:szCs w:val="24"/>
          <w:lang w:val="pt-PT"/>
        </w:rPr>
        <w:instrText>ADDIN CSL_CITATION {"citationItems":[{"id":"ITEM-1","itemData":{"DOI":"10.2991/aebmr.k.220603.133","author":[{"dropping-particle":"","family":"Liu","given":"Yuna","non-dropping-particle":"","parse-names":false,"suffix":""}],"container-title":"Proceedings of the 2022 2nd International Conference on Enterprise Management and Economic Development (ICEMED 2022)","id":"ITEM-1","issue":"Icemed","issued":{"date-parts":[["2022"]]},"number-of-pages":"816-820","title":"Evaluation Method Based on NPV and IRR","type":"report","volume":"656"},"uris":["http://www.mendeley.com/documents/?uuid=23f59ea9-fd53-4e5f-a81a-4b3727cfb784"]}],"mendeley":{"formattedCitation":"(39)","plainTextFormattedCitation":"(39)","previouslyFormattedCitation":"(38)"},"properties":{"noteIndex":0},"schema":"https://github.com/citation-style-language/schema/raw/master/csl-citation.json"}</w:instrText>
      </w:r>
      <w:r w:rsidR="00D37FF0">
        <w:rPr>
          <w:rFonts w:ascii="Times New Roman" w:hAnsi="Times New Roman" w:cs="Times New Roman"/>
          <w:sz w:val="24"/>
          <w:szCs w:val="24"/>
          <w:lang w:val="pt-PT"/>
        </w:rPr>
        <w:fldChar w:fldCharType="separate"/>
      </w:r>
      <w:r w:rsidR="000E6908" w:rsidRPr="000E6908">
        <w:rPr>
          <w:rFonts w:ascii="Times New Roman" w:hAnsi="Times New Roman" w:cs="Times New Roman"/>
          <w:noProof/>
          <w:sz w:val="24"/>
          <w:szCs w:val="24"/>
          <w:lang w:val="pt-PT"/>
        </w:rPr>
        <w:t>(39)</w:t>
      </w:r>
      <w:r w:rsidR="00D37FF0">
        <w:rPr>
          <w:rFonts w:ascii="Times New Roman" w:hAnsi="Times New Roman" w:cs="Times New Roman"/>
          <w:sz w:val="24"/>
          <w:szCs w:val="24"/>
          <w:lang w:val="pt-PT"/>
        </w:rPr>
        <w:fldChar w:fldCharType="end"/>
      </w:r>
      <w:r w:rsidR="00D37FF0">
        <w:rPr>
          <w:rFonts w:ascii="Times New Roman" w:hAnsi="Times New Roman" w:cs="Times New Roman"/>
          <w:sz w:val="24"/>
          <w:szCs w:val="24"/>
          <w:lang w:val="pt-PT"/>
        </w:rPr>
        <w:t>, no entanto, para</w:t>
      </w:r>
      <w:r w:rsidR="00B26A1A">
        <w:rPr>
          <w:rFonts w:ascii="Times New Roman" w:hAnsi="Times New Roman" w:cs="Times New Roman"/>
          <w:sz w:val="24"/>
          <w:szCs w:val="24"/>
          <w:lang w:val="pt-PT"/>
        </w:rPr>
        <w:t xml:space="preserve"> projetos indepentes já não são recomendados</w:t>
      </w:r>
      <w:r w:rsidR="00F441D8">
        <w:rPr>
          <w:rFonts w:ascii="Times New Roman" w:hAnsi="Times New Roman" w:cs="Times New Roman"/>
          <w:sz w:val="24"/>
          <w:szCs w:val="24"/>
          <w:lang w:val="pt-PT"/>
        </w:rPr>
        <w:t xml:space="preserve"> </w:t>
      </w:r>
      <w:r w:rsidR="00F441D8">
        <w:rPr>
          <w:rFonts w:ascii="Times New Roman" w:hAnsi="Times New Roman" w:cs="Times New Roman"/>
          <w:sz w:val="24"/>
          <w:szCs w:val="24"/>
          <w:lang w:val="pt-PT"/>
        </w:rPr>
        <w:fldChar w:fldCharType="begin" w:fldLock="1"/>
      </w:r>
      <w:r w:rsidR="000E6908">
        <w:rPr>
          <w:rFonts w:ascii="Times New Roman" w:hAnsi="Times New Roman" w:cs="Times New Roman"/>
          <w:sz w:val="24"/>
          <w:szCs w:val="24"/>
          <w:lang w:val="pt-PT"/>
        </w:rPr>
        <w:instrText>ADDIN CSL_CITATION {"citationItems":[{"id":"ITEM-1","itemData":{"author":[{"dropping-particle":"","family":"Bora","given":"Dr. Balaram","non-dropping-particle":"","parse-names":false,"suffix":""}],"container-title":"International Journal of Research in Finance and Marketing","id":"ITEM-1","issue":"12","issued":{"date-parts":[["2015"]]},"page":"61-71","title":"COMPARISON BETWEEN NET PRESENT VALUE AND INTERNAL RATE OF RETURN","type":"article-journal","volume":"5"},"uris":["http://www.mendeley.com/documents/?uuid=b500ecc7-827b-4a8b-8472-61d2ef5766f6"]}],"mendeley":{"formattedCitation":"(40)","plainTextFormattedCitation":"(40)","previouslyFormattedCitation":"(39)"},"properties":{"noteIndex":0},"schema":"https://github.com/citation-style-language/schema/raw/master/csl-citation.json"}</w:instrText>
      </w:r>
      <w:r w:rsidR="00F441D8">
        <w:rPr>
          <w:rFonts w:ascii="Times New Roman" w:hAnsi="Times New Roman" w:cs="Times New Roman"/>
          <w:sz w:val="24"/>
          <w:szCs w:val="24"/>
          <w:lang w:val="pt-PT"/>
        </w:rPr>
        <w:fldChar w:fldCharType="separate"/>
      </w:r>
      <w:r w:rsidR="000E6908" w:rsidRPr="000E6908">
        <w:rPr>
          <w:rFonts w:ascii="Times New Roman" w:hAnsi="Times New Roman" w:cs="Times New Roman"/>
          <w:noProof/>
          <w:sz w:val="24"/>
          <w:szCs w:val="24"/>
          <w:lang w:val="pt-PT"/>
        </w:rPr>
        <w:t>(40)</w:t>
      </w:r>
      <w:r w:rsidR="00F441D8">
        <w:rPr>
          <w:rFonts w:ascii="Times New Roman" w:hAnsi="Times New Roman" w:cs="Times New Roman"/>
          <w:sz w:val="24"/>
          <w:szCs w:val="24"/>
          <w:lang w:val="pt-PT"/>
        </w:rPr>
        <w:fldChar w:fldCharType="end"/>
      </w:r>
      <w:r w:rsidR="00281144">
        <w:rPr>
          <w:rFonts w:ascii="Times New Roman" w:hAnsi="Times New Roman" w:cs="Times New Roman"/>
          <w:sz w:val="24"/>
          <w:szCs w:val="24"/>
          <w:lang w:val="pt-PT"/>
        </w:rPr>
        <w:t>.</w:t>
      </w:r>
      <w:r w:rsidR="00D37FF0">
        <w:rPr>
          <w:rFonts w:ascii="Times New Roman" w:hAnsi="Times New Roman" w:cs="Times New Roman"/>
          <w:sz w:val="24"/>
          <w:szCs w:val="24"/>
          <w:lang w:val="pt-PT"/>
        </w:rPr>
        <w:t xml:space="preserve"> VPLA</w:t>
      </w:r>
      <w:r w:rsidR="00D37FF0" w:rsidRPr="0026018F">
        <w:rPr>
          <w:rFonts w:ascii="Times New Roman" w:hAnsi="Times New Roman" w:cs="Times New Roman"/>
          <w:sz w:val="24"/>
          <w:szCs w:val="24"/>
          <w:lang w:val="pt-PT"/>
        </w:rPr>
        <w:t xml:space="preserve"> pode ser express</w:t>
      </w:r>
      <w:r w:rsidR="00D37FF0">
        <w:rPr>
          <w:rFonts w:ascii="Times New Roman" w:hAnsi="Times New Roman" w:cs="Times New Roman"/>
          <w:sz w:val="24"/>
          <w:szCs w:val="24"/>
          <w:lang w:val="pt-PT"/>
        </w:rPr>
        <w:t>a</w:t>
      </w:r>
      <w:r w:rsidR="00D37FF0" w:rsidRPr="0026018F">
        <w:rPr>
          <w:rFonts w:ascii="Times New Roman" w:hAnsi="Times New Roman" w:cs="Times New Roman"/>
          <w:sz w:val="24"/>
          <w:szCs w:val="24"/>
          <w:lang w:val="pt-PT"/>
        </w:rPr>
        <w:t xml:space="preserve"> pela seguinte equação </w:t>
      </w:r>
      <w:r w:rsidR="00D37FF0">
        <w:rPr>
          <w:rFonts w:ascii="Times New Roman" w:hAnsi="Times New Roman" w:cs="Times New Roman"/>
          <w:sz w:val="24"/>
          <w:szCs w:val="24"/>
          <w:lang w:val="pt-PT"/>
        </w:rPr>
        <w:t>8:</w:t>
      </w:r>
    </w:p>
    <w:p w14:paraId="43C6C4C3" w14:textId="77777777" w:rsidR="00B82D8F" w:rsidRDefault="00B82D8F" w:rsidP="00691500">
      <w:pPr>
        <w:spacing w:after="0" w:line="360" w:lineRule="auto"/>
        <w:ind w:left="1134" w:firstLine="709"/>
        <w:jc w:val="both"/>
        <w:rPr>
          <w:rFonts w:ascii="Times New Roman" w:hAnsi="Times New Roman" w:cs="Times New Roman"/>
          <w:sz w:val="24"/>
          <w:szCs w:val="24"/>
          <w:lang w:val="pt-PT"/>
        </w:rPr>
      </w:pPr>
    </w:p>
    <w:p w14:paraId="25B659DE" w14:textId="6BC991EC" w:rsidR="00D37FF0" w:rsidRDefault="00D37FF0" w:rsidP="00691500">
      <w:pPr>
        <w:spacing w:after="0" w:line="360" w:lineRule="auto"/>
        <w:ind w:left="1134"/>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AUE= </w:t>
      </w:r>
      <m:oMath>
        <m:f>
          <m:fPr>
            <m:type m:val="skw"/>
            <m:ctrlPr>
              <w:rPr>
                <w:rFonts w:ascii="Cambria Math" w:hAnsi="Cambria Math" w:cs="Times New Roman"/>
                <w:i/>
                <w:sz w:val="24"/>
                <w:szCs w:val="24"/>
                <w:lang w:val="pt-PT"/>
              </w:rPr>
            </m:ctrlPr>
          </m:fPr>
          <m:num>
            <m:r>
              <w:rPr>
                <w:rFonts w:ascii="Cambria Math" w:hAnsi="Cambria Math" w:cs="Times New Roman"/>
                <w:sz w:val="24"/>
                <w:szCs w:val="24"/>
                <w:lang w:val="pt-PT"/>
              </w:rPr>
              <m:t>i*VPL</m:t>
            </m:r>
          </m:num>
          <m:den>
            <m:r>
              <w:rPr>
                <w:rFonts w:ascii="Cambria Math" w:hAnsi="Cambria Math" w:cs="Times New Roman"/>
                <w:sz w:val="24"/>
                <w:szCs w:val="24"/>
                <w:lang w:val="pt-PT"/>
              </w:rPr>
              <m:t xml:space="preserve">1- </m:t>
            </m:r>
            <m:sSup>
              <m:sSupPr>
                <m:ctrlPr>
                  <w:rPr>
                    <w:rFonts w:ascii="Cambria Math" w:hAnsi="Cambria Math" w:cs="Times New Roman"/>
                    <w:i/>
                    <w:sz w:val="24"/>
                    <w:szCs w:val="24"/>
                    <w:lang w:val="pt-PT"/>
                  </w:rPr>
                </m:ctrlPr>
              </m:sSupPr>
              <m:e>
                <m:d>
                  <m:dPr>
                    <m:ctrlPr>
                      <w:rPr>
                        <w:rFonts w:ascii="Cambria Math" w:hAnsi="Cambria Math" w:cs="Times New Roman"/>
                        <w:i/>
                        <w:sz w:val="24"/>
                        <w:szCs w:val="24"/>
                        <w:lang w:val="pt-PT"/>
                      </w:rPr>
                    </m:ctrlPr>
                  </m:dPr>
                  <m:e>
                    <m:r>
                      <w:rPr>
                        <w:rFonts w:ascii="Cambria Math" w:hAnsi="Cambria Math" w:cs="Times New Roman"/>
                        <w:sz w:val="24"/>
                        <w:szCs w:val="24"/>
                        <w:lang w:val="pt-PT"/>
                      </w:rPr>
                      <m:t>1+i</m:t>
                    </m:r>
                  </m:e>
                </m:d>
              </m:e>
              <m:sup>
                <m:r>
                  <w:rPr>
                    <w:rFonts w:ascii="Cambria Math" w:hAnsi="Cambria Math" w:cs="Times New Roman"/>
                    <w:sz w:val="24"/>
                    <w:szCs w:val="24"/>
                    <w:lang w:val="pt-PT"/>
                  </w:rPr>
                  <m:t>-n</m:t>
                </m:r>
              </m:sup>
            </m:sSup>
          </m:den>
        </m:f>
      </m:oMath>
      <w:r w:rsidR="006D778A">
        <w:rPr>
          <w:rFonts w:ascii="Times New Roman" w:hAnsi="Times New Roman" w:cs="Times New Roman"/>
          <w:sz w:val="24"/>
          <w:szCs w:val="24"/>
          <w:lang w:val="pt-PT"/>
        </w:rPr>
        <w:t xml:space="preserve">                                                             (equação 8)</w:t>
      </w:r>
    </w:p>
    <w:p w14:paraId="690E8587" w14:textId="0678417A" w:rsidR="006D778A" w:rsidRDefault="006D778A" w:rsidP="00691500">
      <w:pPr>
        <w:spacing w:after="0" w:line="360" w:lineRule="auto"/>
        <w:ind w:left="1134" w:firstLine="709"/>
        <w:jc w:val="both"/>
        <w:rPr>
          <w:rFonts w:ascii="Times New Roman" w:hAnsi="Times New Roman" w:cs="Times New Roman"/>
          <w:sz w:val="24"/>
          <w:szCs w:val="24"/>
          <w:lang w:val="pt-PT"/>
        </w:rPr>
      </w:pPr>
      <w:r>
        <w:rPr>
          <w:rFonts w:ascii="Times New Roman" w:hAnsi="Times New Roman" w:cs="Times New Roman"/>
          <w:sz w:val="24"/>
          <w:szCs w:val="24"/>
          <w:lang w:val="pt-PT"/>
        </w:rPr>
        <w:t>Onde V</w:t>
      </w:r>
      <w:r w:rsidRPr="006D778A">
        <w:rPr>
          <w:rFonts w:ascii="Times New Roman" w:hAnsi="Times New Roman" w:cs="Times New Roman"/>
          <w:sz w:val="24"/>
          <w:szCs w:val="24"/>
          <w:lang w:val="pt-PT"/>
        </w:rPr>
        <w:t xml:space="preserve">PL </w:t>
      </w:r>
      <w:r>
        <w:rPr>
          <w:rFonts w:ascii="Times New Roman" w:hAnsi="Times New Roman" w:cs="Times New Roman"/>
          <w:sz w:val="24"/>
          <w:szCs w:val="24"/>
          <w:lang w:val="pt-PT"/>
        </w:rPr>
        <w:t>é o</w:t>
      </w:r>
      <w:r w:rsidRPr="006D778A">
        <w:rPr>
          <w:rFonts w:ascii="Times New Roman" w:hAnsi="Times New Roman" w:cs="Times New Roman"/>
          <w:sz w:val="24"/>
          <w:szCs w:val="24"/>
          <w:lang w:val="pt-PT"/>
        </w:rPr>
        <w:t xml:space="preserve"> valor presente líquido</w:t>
      </w:r>
      <w:r>
        <w:rPr>
          <w:rFonts w:ascii="Times New Roman" w:hAnsi="Times New Roman" w:cs="Times New Roman"/>
          <w:sz w:val="24"/>
          <w:szCs w:val="24"/>
          <w:lang w:val="pt-PT"/>
        </w:rPr>
        <w:t>, i</w:t>
      </w:r>
      <w:r w:rsidRPr="006D778A">
        <w:rPr>
          <w:rFonts w:ascii="Times New Roman" w:hAnsi="Times New Roman" w:cs="Times New Roman"/>
          <w:sz w:val="24"/>
          <w:szCs w:val="24"/>
          <w:lang w:val="pt-PT"/>
        </w:rPr>
        <w:t xml:space="preserve"> = taxa de juros por período</w:t>
      </w:r>
      <w:r>
        <w:rPr>
          <w:rFonts w:ascii="Times New Roman" w:hAnsi="Times New Roman" w:cs="Times New Roman"/>
          <w:sz w:val="24"/>
          <w:szCs w:val="24"/>
          <w:lang w:val="pt-PT"/>
        </w:rPr>
        <w:t xml:space="preserve"> e </w:t>
      </w:r>
      <w:r w:rsidRPr="006D778A">
        <w:rPr>
          <w:rFonts w:ascii="Times New Roman" w:hAnsi="Times New Roman" w:cs="Times New Roman"/>
          <w:sz w:val="24"/>
          <w:szCs w:val="24"/>
          <w:lang w:val="pt-PT"/>
        </w:rPr>
        <w:t>n</w:t>
      </w:r>
      <w:r>
        <w:rPr>
          <w:rFonts w:ascii="Times New Roman" w:hAnsi="Times New Roman" w:cs="Times New Roman"/>
          <w:sz w:val="24"/>
          <w:szCs w:val="24"/>
          <w:lang w:val="pt-PT"/>
        </w:rPr>
        <w:t xml:space="preserve"> o</w:t>
      </w:r>
      <w:r w:rsidRPr="006D778A">
        <w:rPr>
          <w:rFonts w:ascii="Times New Roman" w:hAnsi="Times New Roman" w:cs="Times New Roman"/>
          <w:sz w:val="24"/>
          <w:szCs w:val="24"/>
          <w:lang w:val="pt-PT"/>
        </w:rPr>
        <w:t xml:space="preserve"> número de períodos</w:t>
      </w:r>
      <w:r>
        <w:rPr>
          <w:rFonts w:ascii="Times New Roman" w:hAnsi="Times New Roman" w:cs="Times New Roman"/>
          <w:sz w:val="24"/>
          <w:szCs w:val="24"/>
          <w:lang w:val="pt-PT"/>
        </w:rPr>
        <w:t>.</w:t>
      </w:r>
    </w:p>
    <w:p w14:paraId="1DADECC6" w14:textId="77777777" w:rsidR="00D37FF0" w:rsidRDefault="00D37FF0" w:rsidP="00691500">
      <w:pPr>
        <w:spacing w:after="0" w:line="360" w:lineRule="auto"/>
        <w:ind w:left="1134" w:firstLine="709"/>
        <w:jc w:val="both"/>
        <w:rPr>
          <w:rFonts w:ascii="Times New Roman" w:hAnsi="Times New Roman" w:cs="Times New Roman"/>
          <w:color w:val="FF0000"/>
          <w:sz w:val="24"/>
          <w:szCs w:val="24"/>
          <w:lang w:val="pt-PT"/>
        </w:rPr>
      </w:pPr>
    </w:p>
    <w:p w14:paraId="4F6D2AD8" w14:textId="4181B191" w:rsidR="00C46CF2" w:rsidRPr="00417A34" w:rsidRDefault="00AB0CA9" w:rsidP="00691500">
      <w:pPr>
        <w:pStyle w:val="Ttulo2"/>
        <w:spacing w:before="0" w:line="360" w:lineRule="auto"/>
        <w:ind w:left="1134" w:firstLine="709"/>
        <w:jc w:val="both"/>
        <w:rPr>
          <w:rFonts w:ascii="Times New Roman" w:hAnsi="Times New Roman" w:cs="Times New Roman"/>
          <w:sz w:val="32"/>
          <w:szCs w:val="32"/>
          <w:lang w:val="pt-PT"/>
        </w:rPr>
      </w:pPr>
      <w:r w:rsidRPr="00707C99">
        <w:rPr>
          <w:rFonts w:ascii="Times New Roman" w:hAnsi="Times New Roman" w:cs="Times New Roman"/>
          <w:sz w:val="32"/>
          <w:szCs w:val="32"/>
          <w:lang w:val="pt-PT"/>
        </w:rPr>
        <w:t xml:space="preserve">2.2.  </w:t>
      </w:r>
      <w:r w:rsidR="001A598A" w:rsidRPr="00417A34">
        <w:rPr>
          <w:rFonts w:ascii="Times New Roman" w:hAnsi="Times New Roman" w:cs="Times New Roman"/>
          <w:sz w:val="32"/>
          <w:szCs w:val="32"/>
          <w:lang w:val="pt-PT"/>
        </w:rPr>
        <w:t>Discussão das v</w:t>
      </w:r>
      <w:r w:rsidR="00D25093" w:rsidRPr="00417A34">
        <w:rPr>
          <w:rFonts w:ascii="Times New Roman" w:hAnsi="Times New Roman" w:cs="Times New Roman"/>
          <w:sz w:val="32"/>
          <w:szCs w:val="32"/>
          <w:lang w:val="pt-PT"/>
        </w:rPr>
        <w:t xml:space="preserve">antagens e </w:t>
      </w:r>
      <w:r w:rsidR="001A598A" w:rsidRPr="00417A34">
        <w:rPr>
          <w:rFonts w:ascii="Times New Roman" w:hAnsi="Times New Roman" w:cs="Times New Roman"/>
          <w:sz w:val="32"/>
          <w:szCs w:val="32"/>
          <w:lang w:val="pt-PT"/>
        </w:rPr>
        <w:t>d</w:t>
      </w:r>
      <w:r w:rsidR="00D25093" w:rsidRPr="00417A34">
        <w:rPr>
          <w:rFonts w:ascii="Times New Roman" w:hAnsi="Times New Roman" w:cs="Times New Roman"/>
          <w:sz w:val="32"/>
          <w:szCs w:val="32"/>
          <w:lang w:val="pt-PT"/>
        </w:rPr>
        <w:t>esvantagens de cada metodologia</w:t>
      </w:r>
      <w:r w:rsidRPr="00417A34">
        <w:rPr>
          <w:rFonts w:ascii="Times New Roman" w:hAnsi="Times New Roman" w:cs="Times New Roman"/>
          <w:sz w:val="32"/>
          <w:szCs w:val="32"/>
          <w:lang w:val="pt-PT"/>
        </w:rPr>
        <w:t xml:space="preserve"> </w:t>
      </w:r>
    </w:p>
    <w:p w14:paraId="35FF03B7" w14:textId="77777777" w:rsidR="00D25093" w:rsidRPr="00D25093" w:rsidRDefault="00D25093" w:rsidP="00691500">
      <w:pPr>
        <w:spacing w:after="0" w:line="360" w:lineRule="auto"/>
        <w:ind w:left="1134" w:firstLine="709"/>
        <w:jc w:val="both"/>
        <w:rPr>
          <w:rFonts w:ascii="Times New Roman" w:hAnsi="Times New Roman" w:cs="Times New Roman"/>
          <w:sz w:val="24"/>
          <w:szCs w:val="24"/>
          <w:lang w:val="pt-PT"/>
        </w:rPr>
      </w:pPr>
    </w:p>
    <w:p w14:paraId="492BD6D9" w14:textId="401BDE04" w:rsidR="00815F18" w:rsidRPr="00815F18" w:rsidRDefault="00815F18" w:rsidP="00691500">
      <w:pPr>
        <w:spacing w:after="0" w:line="360" w:lineRule="auto"/>
        <w:ind w:left="1134" w:firstLine="709"/>
        <w:jc w:val="both"/>
        <w:rPr>
          <w:rFonts w:ascii="Times New Roman" w:hAnsi="Times New Roman" w:cs="Times New Roman"/>
          <w:sz w:val="24"/>
          <w:szCs w:val="24"/>
          <w:lang w:val="pt-PT"/>
        </w:rPr>
      </w:pPr>
      <w:r w:rsidRPr="00815F18">
        <w:rPr>
          <w:rFonts w:ascii="Times New Roman" w:hAnsi="Times New Roman" w:cs="Times New Roman"/>
          <w:sz w:val="24"/>
          <w:szCs w:val="24"/>
          <w:lang w:val="pt-PT"/>
        </w:rPr>
        <w:t>Nesta seção, propomos uma revisão das metodologias disponíveis, demonstrando as vantagens e de</w:t>
      </w:r>
      <w:r w:rsidR="00D25093">
        <w:rPr>
          <w:rFonts w:ascii="Times New Roman" w:hAnsi="Times New Roman" w:cs="Times New Roman"/>
          <w:sz w:val="24"/>
          <w:szCs w:val="24"/>
          <w:lang w:val="pt-PT"/>
        </w:rPr>
        <w:t>svantagen</w:t>
      </w:r>
      <w:r w:rsidRPr="00815F18">
        <w:rPr>
          <w:rFonts w:ascii="Times New Roman" w:hAnsi="Times New Roman" w:cs="Times New Roman"/>
          <w:sz w:val="24"/>
          <w:szCs w:val="24"/>
          <w:lang w:val="pt-PT"/>
        </w:rPr>
        <w:t>s d</w:t>
      </w:r>
      <w:r w:rsidR="00D25093">
        <w:rPr>
          <w:rFonts w:ascii="Times New Roman" w:hAnsi="Times New Roman" w:cs="Times New Roman"/>
          <w:sz w:val="24"/>
          <w:szCs w:val="24"/>
          <w:lang w:val="pt-PT"/>
        </w:rPr>
        <w:t>as</w:t>
      </w:r>
      <w:r w:rsidRPr="00815F18">
        <w:rPr>
          <w:rFonts w:ascii="Times New Roman" w:hAnsi="Times New Roman" w:cs="Times New Roman"/>
          <w:sz w:val="24"/>
          <w:szCs w:val="24"/>
          <w:lang w:val="pt-PT"/>
        </w:rPr>
        <w:t xml:space="preserve"> vári</w:t>
      </w:r>
      <w:r w:rsidR="00D25093">
        <w:rPr>
          <w:rFonts w:ascii="Times New Roman" w:hAnsi="Times New Roman" w:cs="Times New Roman"/>
          <w:sz w:val="24"/>
          <w:szCs w:val="24"/>
          <w:lang w:val="pt-PT"/>
        </w:rPr>
        <w:t>a</w:t>
      </w:r>
      <w:r w:rsidRPr="00815F18">
        <w:rPr>
          <w:rFonts w:ascii="Times New Roman" w:hAnsi="Times New Roman" w:cs="Times New Roman"/>
          <w:sz w:val="24"/>
          <w:szCs w:val="24"/>
          <w:lang w:val="pt-PT"/>
        </w:rPr>
        <w:t>s ferramentas úteis para avaliação de investimentos, levando em consideração vários elementos como o timing da oportunidade de investimento, flexibilidade operacional, valor do dinheiro no tempo, etc. A seção revela lacunas nas metodologias e também pode mostrar que uma determinada ferramenta é escolhida para um determinado problema, sendo portanto fundamental saber o interesse do stakeholder, o que ele busca em determinado investimento para fornecer dados importantes para que tome a decisão mais vantajosa, rentável, social e sustentável para o meio ambiente.</w:t>
      </w:r>
    </w:p>
    <w:p w14:paraId="13886B8C" w14:textId="1053E39D" w:rsidR="00255B5F" w:rsidRPr="005309B0" w:rsidRDefault="00815F18" w:rsidP="00691500">
      <w:pPr>
        <w:spacing w:after="0" w:line="360" w:lineRule="auto"/>
        <w:ind w:left="1134" w:firstLine="709"/>
        <w:jc w:val="both"/>
        <w:rPr>
          <w:rFonts w:ascii="Times New Roman" w:hAnsi="Times New Roman" w:cs="Times New Roman"/>
          <w:sz w:val="24"/>
          <w:szCs w:val="24"/>
          <w:shd w:val="clear" w:color="auto" w:fill="FFFFFF"/>
          <w:lang w:val="pt-PT"/>
        </w:rPr>
      </w:pPr>
      <w:r w:rsidRPr="00815F18">
        <w:rPr>
          <w:rFonts w:ascii="Times New Roman" w:hAnsi="Times New Roman" w:cs="Times New Roman"/>
          <w:sz w:val="24"/>
          <w:szCs w:val="24"/>
          <w:lang w:val="pt-PT"/>
        </w:rPr>
        <w:t>O modelo de investimento sugerido no estudo de</w:t>
      </w:r>
      <w:r w:rsidR="009E6A3C" w:rsidRPr="00815F18">
        <w:rPr>
          <w:rFonts w:ascii="Times New Roman" w:hAnsi="Times New Roman" w:cs="Times New Roman"/>
          <w:sz w:val="24"/>
          <w:szCs w:val="24"/>
          <w:lang w:val="pt-PT"/>
        </w:rPr>
        <w:t xml:space="preserve"> </w:t>
      </w:r>
      <w:r w:rsidR="00255B5F" w:rsidRPr="00815F18">
        <w:rPr>
          <w:rFonts w:ascii="Times New Roman" w:hAnsi="Times New Roman" w:cs="Times New Roman"/>
          <w:sz w:val="24"/>
          <w:szCs w:val="24"/>
          <w:lang w:val="pt-PT"/>
        </w:rPr>
        <w:t xml:space="preserve">Dranka et al </w:t>
      </w:r>
      <w:r w:rsidR="00255B5F" w:rsidRPr="009342F5">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Energy","id":"ITEM-1","issue":"2","issued":{"date-parts":[["2020"]]},"number-of-pages":"339-364","title":"Economic evaluation methodologies for renewable energy projects","type":"report","volume":"8"},"uris":["http://www.mendeley.com/documents/?uuid=1fe5f3e7-b22d-4e41-8980-968b25750983"]}],"mendeley":{"formattedCitation":"(23)","plainTextFormattedCitation":"(23)","previouslyFormattedCitation":"(22)"},"properties":{"noteIndex":0},"schema":"https://github.com/citation-style-language/schema/raw/master/csl-citation.json"}</w:instrText>
      </w:r>
      <w:r w:rsidR="00255B5F" w:rsidRPr="009342F5">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(23)</w:t>
      </w:r>
      <w:r w:rsidR="00255B5F" w:rsidRPr="009342F5">
        <w:rPr>
          <w:rFonts w:ascii="Times New Roman" w:hAnsi="Times New Roman" w:cs="Times New Roman"/>
          <w:sz w:val="24"/>
          <w:szCs w:val="24"/>
        </w:rPr>
        <w:fldChar w:fldCharType="end"/>
      </w:r>
      <w:r w:rsidR="00255B5F" w:rsidRPr="00815F18">
        <w:rPr>
          <w:rFonts w:ascii="Times New Roman" w:hAnsi="Times New Roman" w:cs="Times New Roman"/>
          <w:sz w:val="24"/>
          <w:szCs w:val="24"/>
          <w:lang w:val="pt-PT"/>
        </w:rPr>
        <w:t xml:space="preserve">, </w:t>
      </w:r>
      <w:r w:rsidRPr="00815F18">
        <w:rPr>
          <w:rFonts w:ascii="Times New Roman" w:hAnsi="Times New Roman" w:cs="Times New Roman"/>
          <w:sz w:val="24"/>
          <w:szCs w:val="24"/>
          <w:lang w:val="pt-PT"/>
        </w:rPr>
        <w:t xml:space="preserve">sugerem complementaridade entre as metodologias de avaliação econômica para a análise econômica de Projetos de Energia Renovável (REP) agrupadas em quatro categorias para as diferentes metodologias, pois avaliam que as Metodologias Clássicas de Análise de Investimento (CMIA) ( (por exemplo, </w:t>
      </w:r>
      <w:r>
        <w:rPr>
          <w:rFonts w:ascii="Times New Roman" w:hAnsi="Times New Roman" w:cs="Times New Roman"/>
          <w:sz w:val="24"/>
          <w:szCs w:val="24"/>
          <w:lang w:val="pt-PT"/>
        </w:rPr>
        <w:t>VPL</w:t>
      </w:r>
      <w:r w:rsidRPr="00815F18">
        <w:rPr>
          <w:rFonts w:ascii="Times New Roman" w:hAnsi="Times New Roman" w:cs="Times New Roman"/>
          <w:sz w:val="24"/>
          <w:szCs w:val="24"/>
          <w:lang w:val="pt-PT"/>
        </w:rPr>
        <w:t xml:space="preserve">, </w:t>
      </w:r>
      <w:r>
        <w:rPr>
          <w:rFonts w:ascii="Times New Roman" w:hAnsi="Times New Roman" w:cs="Times New Roman"/>
          <w:sz w:val="24"/>
          <w:szCs w:val="24"/>
          <w:lang w:val="pt-PT"/>
        </w:rPr>
        <w:t>T</w:t>
      </w:r>
      <w:r w:rsidRPr="00815F18">
        <w:rPr>
          <w:rFonts w:ascii="Times New Roman" w:hAnsi="Times New Roman" w:cs="Times New Roman"/>
          <w:sz w:val="24"/>
          <w:szCs w:val="24"/>
          <w:lang w:val="pt-PT"/>
        </w:rPr>
        <w:t xml:space="preserve">IR e Return </w:t>
      </w:r>
      <w:r>
        <w:rPr>
          <w:rFonts w:ascii="Times New Roman" w:hAnsi="Times New Roman" w:cs="Times New Roman"/>
          <w:sz w:val="24"/>
          <w:szCs w:val="24"/>
          <w:lang w:val="pt-PT"/>
        </w:rPr>
        <w:lastRenderedPageBreak/>
        <w:t>sob</w:t>
      </w:r>
      <w:r w:rsidRPr="00815F18">
        <w:rPr>
          <w:rFonts w:ascii="Times New Roman" w:hAnsi="Times New Roman" w:cs="Times New Roman"/>
          <w:sz w:val="24"/>
          <w:szCs w:val="24"/>
          <w:lang w:val="pt-PT"/>
        </w:rPr>
        <w:t xml:space="preserve"> Capital Investido ou Período de Payback) são mais indicados para projetos com baixa volatilidade de custo de investimento</w:t>
      </w:r>
      <w:r w:rsidR="005309B0">
        <w:rPr>
          <w:rFonts w:ascii="Times New Roman" w:hAnsi="Times New Roman" w:cs="Times New Roman"/>
          <w:sz w:val="24"/>
          <w:szCs w:val="24"/>
          <w:lang w:val="pt-PT"/>
        </w:rPr>
        <w:t>,</w:t>
      </w:r>
      <w:r w:rsidRPr="00815F18">
        <w:rPr>
          <w:rFonts w:ascii="Times New Roman" w:hAnsi="Times New Roman" w:cs="Times New Roman"/>
          <w:sz w:val="24"/>
          <w:szCs w:val="24"/>
          <w:lang w:val="pt-PT"/>
        </w:rPr>
        <w:t xml:space="preserve"> investimento inicial ou de período, enquanto para projetos com média ou alta volatilidade recomendaram as Metodologias Multi-Index (MIM), que faz uma avaliação conjunta de indicadores de risco e retorno para dar mais robustez e confiança à viabilidade econômica de um projeto de investimento </w:t>
      </w:r>
      <w:r w:rsidR="00255B5F" w:rsidRPr="009342F5">
        <w:rPr>
          <w:rFonts w:ascii="Times New Roman" w:hAnsi="Times New Roman" w:cs="Times New Roman"/>
          <w:sz w:val="24"/>
          <w:szCs w:val="24"/>
          <w:shd w:val="clear" w:color="auto" w:fill="FFFFFF"/>
        </w:rPr>
        <w:fldChar w:fldCharType="begin" w:fldLock="1"/>
      </w:r>
      <w:r w:rsidR="000E6908">
        <w:rPr>
          <w:rFonts w:ascii="Times New Roman" w:hAnsi="Times New Roman" w:cs="Times New Roman"/>
          <w:sz w:val="24"/>
          <w:szCs w:val="24"/>
          <w:shd w:val="clear" w:color="auto" w:fill="FFFFFF"/>
          <w:lang w:val="pt-PT"/>
        </w:rPr>
        <w:instrText>ADDIN CSL_CITATION {"citationItems":[{"id":"ITEM-1","itemData":{"abstract":"Apresentam-se, de forma sucinta, os conceitos e as técnicas utilizados no processo de seleção de alternativas de investimentos, com destaque para a Metodologia Multi-índice. O livro é dirigido, prioritariamente, para alunos de pós-graduação lato sensu que estejam tendo um primeiro contato com as disciplinas de Engenharia Econômica, Análise de Investimentos em Ativos Reais e Decisões de Investimentos, entre outras. Trata-se de material complementar para profissionais que atuem em estudos de viabilidade de projetos.","author":[{"dropping-particle":"","family":"Souza;","given":"Alceu;","non-dropping-particle":"","parse-names":false,"suffix":""},{"dropping-particle":"","family":"Clemente","given":"Ademir","non-dropping-particle":"","parse-names":false,"suffix":""}],"edition":"5. ed","editor":[{"dropping-particle":"","family":"Atlas","given":"2012","non-dropping-particle":"","parse-names":false,"suffix":""}],"id":"ITEM-1","issued":{"date-parts":[["2009"]]},"publisher-place":"São Paulo:","title":"Decisões Financeiras e Análises de Investimentos: Conceitos, técnicas e aplicações","type":"book"},"uris":["http://www.mendeley.com/documents/?uuid=3ea16bc7-0109-4ba1-bc06-898759686aa3"]}],"mendeley":{"formattedCitation":"(41)","plainTextFormattedCitation":"(41)","previouslyFormattedCitation":"(40)"},"properties":{"noteIndex":0},"schema":"https://github.com/citation-style-language/schema/raw/master/csl-citation.json"}</w:instrText>
      </w:r>
      <w:r w:rsidR="00255B5F" w:rsidRPr="009342F5">
        <w:rPr>
          <w:rFonts w:ascii="Times New Roman" w:hAnsi="Times New Roman" w:cs="Times New Roman"/>
          <w:sz w:val="24"/>
          <w:szCs w:val="24"/>
          <w:shd w:val="clear" w:color="auto" w:fill="FFFFFF"/>
        </w:rPr>
        <w:fldChar w:fldCharType="separate"/>
      </w:r>
      <w:r w:rsidR="000E6908" w:rsidRPr="000E6908">
        <w:rPr>
          <w:rFonts w:ascii="Times New Roman" w:hAnsi="Times New Roman" w:cs="Times New Roman"/>
          <w:noProof/>
          <w:sz w:val="24"/>
          <w:szCs w:val="24"/>
          <w:shd w:val="clear" w:color="auto" w:fill="FFFFFF"/>
          <w:lang w:val="pt-PT"/>
        </w:rPr>
        <w:t>(41)</w:t>
      </w:r>
      <w:r w:rsidR="00255B5F" w:rsidRPr="009342F5">
        <w:rPr>
          <w:rFonts w:ascii="Times New Roman" w:hAnsi="Times New Roman" w:cs="Times New Roman"/>
          <w:sz w:val="24"/>
          <w:szCs w:val="24"/>
          <w:shd w:val="clear" w:color="auto" w:fill="FFFFFF"/>
        </w:rPr>
        <w:fldChar w:fldCharType="end"/>
      </w:r>
      <w:r w:rsidR="00255B5F" w:rsidRPr="005309B0">
        <w:rPr>
          <w:rFonts w:ascii="Times New Roman" w:hAnsi="Times New Roman" w:cs="Times New Roman"/>
          <w:sz w:val="24"/>
          <w:szCs w:val="24"/>
          <w:shd w:val="clear" w:color="auto" w:fill="FFFFFF"/>
          <w:lang w:val="pt-PT"/>
        </w:rPr>
        <w:t xml:space="preserve">. </w:t>
      </w:r>
      <w:r w:rsidR="005309B0" w:rsidRPr="005309B0">
        <w:rPr>
          <w:rFonts w:ascii="Times New Roman" w:hAnsi="Times New Roman" w:cs="Times New Roman"/>
          <w:sz w:val="24"/>
          <w:szCs w:val="24"/>
          <w:shd w:val="clear" w:color="auto" w:fill="FFFFFF"/>
          <w:lang w:val="pt-PT"/>
        </w:rPr>
        <w:t>O Extended Multi-Index (EMIM) é uma extensão do método MMI para realizar análises de sensibilidade sobre as variáveis que afetam a viabilidade econômica e o risco do investimento</w:t>
      </w:r>
      <w:r w:rsidR="00255B5F" w:rsidRPr="005309B0">
        <w:rPr>
          <w:rFonts w:ascii="Times New Roman" w:hAnsi="Times New Roman" w:cs="Times New Roman"/>
          <w:sz w:val="24"/>
          <w:szCs w:val="24"/>
          <w:shd w:val="clear" w:color="auto" w:fill="FFFFFF"/>
          <w:lang w:val="pt-PT"/>
        </w:rPr>
        <w:t xml:space="preserve"> </w:t>
      </w:r>
      <w:r w:rsidR="00255B5F" w:rsidRPr="009342F5">
        <w:rPr>
          <w:rFonts w:ascii="Times New Roman" w:hAnsi="Times New Roman" w:cs="Times New Roman"/>
          <w:sz w:val="24"/>
          <w:szCs w:val="24"/>
          <w:shd w:val="clear" w:color="auto" w:fill="FFFFFF"/>
        </w:rPr>
        <w:fldChar w:fldCharType="begin" w:fldLock="1"/>
      </w:r>
      <w:r w:rsidR="000E6908">
        <w:rPr>
          <w:rFonts w:ascii="Times New Roman" w:hAnsi="Times New Roman" w:cs="Times New Roman"/>
          <w:sz w:val="24"/>
          <w:szCs w:val="24"/>
          <w:shd w:val="clear" w:color="auto" w:fill="FFFFFF"/>
          <w:lang w:val="pt-PT"/>
        </w:rPr>
        <w:instrText>ADDIN CSL_CITATION {"citationItems":[{"id":"ITEM-1","itemData":{"DOI":"10.1504/ijeme.2015.069887","ISSN":"1756-5154","abstract":"This paper aims to present a systematic for the analysis of the economic viability of investment projects (SAEVIP) in fixed assets. In the literature, it is possible to identify the fundamental elements to evaluate the merit of the investment project (IP). To assess the dimension ‘return’, indicators are analysed: net present value (NPV), NPV annualised (NPVA), index benefit/cost (IBC), return on investment annualised (ROIA), index ROIA/minimum rate of attractiveness (MRA) and return on investment (ROI). An indicator analysis for dimension ‘risk’ is performed by internal rate of return (IRR), Payback, index MRA/IRR, index Payback/N and Fisher point. In addition, a joint assessment of indicator of risk and return is performed. A sensitivity study is promoted on the main variables involved in economic performance of the IP (MRA, costs and revenues). To validate the SAEVIP proposal, a case study shows the wealth of information generated by the application of this systematic.","author":[{"dropping-particle":"De","family":"Lima","given":"José Donizetti","non-dropping-particle":"","parse-names":false,"suffix":""},{"dropping-particle":"","family":"Trentin","given":"Marcelo Gonçalves","non-dropping-particle":"","parse-names":false,"suffix":""},{"dropping-particle":"","family":"Oliveira","given":"Gilson Adamczuk","non-dropping-particle":"","parse-names":false,"suffix":""},{"dropping-particle":"","family":"Batistus","given":"Dayse Regina","non-dropping-particle":"","parse-names":false,"suffix":""},{"dropping-particle":"","family":"Setti","given":"Dalmarino","non-dropping-particle":"","parse-names":false,"suffix":""}],"container-title":"International Journal of Engineering Management and Economics","id":"ITEM-1","issue":"1/2","issued":{"date-parts":[["2015"]]},"number-of-pages":"19","title":"A systematic approach for the analysis of the economic viability of investment projects","type":"report","volume":"5"},"uris":["http://www.mendeley.com/documents/?uuid=f18995fb-9cb3-471b-900e-729bf709b24e"]}],"mendeley":{"formattedCitation":"(42)","plainTextFormattedCitation":"(42)","previouslyFormattedCitation":"(41)"},"properties":{"noteIndex":0},"schema":"https://github.com/citation-style-language/schema/raw/master/csl-citation.json"}</w:instrText>
      </w:r>
      <w:r w:rsidR="00255B5F" w:rsidRPr="009342F5">
        <w:rPr>
          <w:rFonts w:ascii="Times New Roman" w:hAnsi="Times New Roman" w:cs="Times New Roman"/>
          <w:sz w:val="24"/>
          <w:szCs w:val="24"/>
          <w:shd w:val="clear" w:color="auto" w:fill="FFFFFF"/>
        </w:rPr>
        <w:fldChar w:fldCharType="separate"/>
      </w:r>
      <w:r w:rsidR="000E6908" w:rsidRPr="000E6908">
        <w:rPr>
          <w:rFonts w:ascii="Times New Roman" w:hAnsi="Times New Roman" w:cs="Times New Roman"/>
          <w:noProof/>
          <w:sz w:val="24"/>
          <w:szCs w:val="24"/>
          <w:shd w:val="clear" w:color="auto" w:fill="FFFFFF"/>
          <w:lang w:val="pt-PT"/>
        </w:rPr>
        <w:t>(42)</w:t>
      </w:r>
      <w:r w:rsidR="00255B5F" w:rsidRPr="009342F5">
        <w:rPr>
          <w:rFonts w:ascii="Times New Roman" w:hAnsi="Times New Roman" w:cs="Times New Roman"/>
          <w:sz w:val="24"/>
          <w:szCs w:val="24"/>
          <w:shd w:val="clear" w:color="auto" w:fill="FFFFFF"/>
        </w:rPr>
        <w:fldChar w:fldCharType="end"/>
      </w:r>
      <w:r w:rsidR="00255B5F" w:rsidRPr="005309B0">
        <w:rPr>
          <w:rFonts w:ascii="Times New Roman" w:hAnsi="Times New Roman" w:cs="Times New Roman"/>
          <w:sz w:val="24"/>
          <w:szCs w:val="24"/>
          <w:shd w:val="clear" w:color="auto" w:fill="FFFFFF"/>
          <w:lang w:val="pt-PT"/>
        </w:rPr>
        <w:t xml:space="preserve">, </w:t>
      </w:r>
      <w:r w:rsidR="005309B0" w:rsidRPr="005309B0">
        <w:rPr>
          <w:rFonts w:ascii="Times New Roman" w:hAnsi="Times New Roman" w:cs="Times New Roman"/>
          <w:sz w:val="24"/>
          <w:szCs w:val="24"/>
          <w:shd w:val="clear" w:color="auto" w:fill="FFFFFF"/>
          <w:lang w:val="pt-PT"/>
        </w:rPr>
        <w:t>oferecendo medidas adicionais de risco-retorno e aumentando a percepção do investidor sobre o investimento.</w:t>
      </w:r>
    </w:p>
    <w:p w14:paraId="739296C6" w14:textId="72F29C58" w:rsidR="00255B5F" w:rsidRPr="005309B0" w:rsidRDefault="005309B0" w:rsidP="00691500">
      <w:pPr>
        <w:spacing w:after="0" w:line="360" w:lineRule="auto"/>
        <w:ind w:left="1134" w:firstLine="709"/>
        <w:jc w:val="both"/>
        <w:rPr>
          <w:rFonts w:ascii="Times New Roman" w:hAnsi="Times New Roman" w:cs="Times New Roman"/>
          <w:sz w:val="24"/>
          <w:szCs w:val="24"/>
          <w:shd w:val="clear" w:color="auto" w:fill="FFFFFF"/>
          <w:lang w:val="pt-PT"/>
        </w:rPr>
      </w:pPr>
      <w:r w:rsidRPr="005309B0">
        <w:rPr>
          <w:rFonts w:ascii="Times New Roman" w:hAnsi="Times New Roman" w:cs="Times New Roman"/>
          <w:sz w:val="24"/>
          <w:szCs w:val="24"/>
          <w:shd w:val="clear" w:color="auto" w:fill="FFFFFF"/>
          <w:lang w:val="pt-PT"/>
        </w:rPr>
        <w:t xml:space="preserve">Quanto à Análise de Opções Reais </w:t>
      </w:r>
      <w:r w:rsidR="00255B5F" w:rsidRPr="005309B0">
        <w:rPr>
          <w:rFonts w:ascii="Times New Roman" w:hAnsi="Times New Roman" w:cs="Times New Roman"/>
          <w:sz w:val="24"/>
          <w:szCs w:val="24"/>
          <w:shd w:val="clear" w:color="auto" w:fill="FFFFFF"/>
          <w:lang w:val="pt-PT"/>
        </w:rPr>
        <w:t xml:space="preserve">(ROA), Dranka </w:t>
      </w:r>
      <w:r w:rsidR="00255B5F" w:rsidRPr="005309B0">
        <w:rPr>
          <w:rFonts w:ascii="Times New Roman" w:hAnsi="Times New Roman" w:cs="Times New Roman"/>
          <w:i/>
          <w:iCs/>
          <w:sz w:val="24"/>
          <w:szCs w:val="24"/>
          <w:shd w:val="clear" w:color="auto" w:fill="FFFFFF"/>
          <w:lang w:val="pt-PT"/>
        </w:rPr>
        <w:t>et al</w:t>
      </w:r>
      <w:r w:rsidR="00255B5F" w:rsidRPr="005309B0">
        <w:rPr>
          <w:rFonts w:ascii="Times New Roman" w:hAnsi="Times New Roman" w:cs="Times New Roman"/>
          <w:sz w:val="24"/>
          <w:szCs w:val="24"/>
          <w:shd w:val="clear" w:color="auto" w:fill="FFFFFF"/>
          <w:lang w:val="pt-PT"/>
        </w:rPr>
        <w:t xml:space="preserve"> </w:t>
      </w:r>
      <w:r w:rsidR="00255B5F" w:rsidRPr="009342F5">
        <w:rPr>
          <w:rFonts w:ascii="Times New Roman" w:hAnsi="Times New Roman" w:cs="Times New Roman"/>
          <w:sz w:val="24"/>
          <w:szCs w:val="24"/>
          <w:shd w:val="clear" w:color="auto" w:fill="FFFFFF"/>
        </w:rPr>
        <w:fldChar w:fldCharType="begin" w:fldLock="1"/>
      </w:r>
      <w:r w:rsidR="000E6908">
        <w:rPr>
          <w:rFonts w:ascii="Times New Roman" w:hAnsi="Times New Roman" w:cs="Times New Roman"/>
          <w:sz w:val="24"/>
          <w:szCs w:val="24"/>
          <w:shd w:val="clear" w:color="auto" w:fill="FFFFFF"/>
          <w:lang w:val="pt-PT"/>
        </w:rPr>
        <w:instrText>ADDIN CSL_CITATION {"citationItems":[{"id":"ITEM-1","itemData":{"DOI":"10.3934/ENERGY.2020.2.339","ISSN":"23338334","abstract":"Typically,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Energy","id":"ITEM-1","issue":"2","issued":{"date-parts":[["2020"]]},"number-of-pages":"339-364","title":"Economic evaluation methodologies for renewable energy projects","type":"report","volume":"8"},"uris":["http://www.mendeley.com/documents/?uuid=1fe5f3e7-b22d-4e41-8980-968b25750983"]}],"mendeley":{"formattedCitation":"(23)","plainTextFormattedCitation":"(23)","previouslyFormattedCitation":"(22)"},"properties":{"noteIndex":0},"schema":"https://github.com/citation-style-language/schema/raw/master/csl-citation.json"}</w:instrText>
      </w:r>
      <w:r w:rsidR="00255B5F" w:rsidRPr="009342F5">
        <w:rPr>
          <w:rFonts w:ascii="Times New Roman" w:hAnsi="Times New Roman" w:cs="Times New Roman"/>
          <w:sz w:val="24"/>
          <w:szCs w:val="24"/>
          <w:shd w:val="clear" w:color="auto" w:fill="FFFFFF"/>
        </w:rPr>
        <w:fldChar w:fldCharType="separate"/>
      </w:r>
      <w:r w:rsidR="000E6908" w:rsidRPr="000E6908">
        <w:rPr>
          <w:rFonts w:ascii="Times New Roman" w:hAnsi="Times New Roman" w:cs="Times New Roman"/>
          <w:noProof/>
          <w:sz w:val="24"/>
          <w:szCs w:val="24"/>
          <w:shd w:val="clear" w:color="auto" w:fill="FFFFFF"/>
          <w:lang w:val="pt-PT"/>
        </w:rPr>
        <w:t>(23)</w:t>
      </w:r>
      <w:r w:rsidR="00255B5F" w:rsidRPr="009342F5">
        <w:rPr>
          <w:rFonts w:ascii="Times New Roman" w:hAnsi="Times New Roman" w:cs="Times New Roman"/>
          <w:sz w:val="24"/>
          <w:szCs w:val="24"/>
          <w:shd w:val="clear" w:color="auto" w:fill="FFFFFF"/>
        </w:rPr>
        <w:fldChar w:fldCharType="end"/>
      </w:r>
      <w:r w:rsidR="00255B5F" w:rsidRPr="005309B0">
        <w:rPr>
          <w:rFonts w:ascii="Times New Roman" w:hAnsi="Times New Roman" w:cs="Times New Roman"/>
          <w:sz w:val="24"/>
          <w:szCs w:val="24"/>
          <w:shd w:val="clear" w:color="auto" w:fill="FFFFFF"/>
          <w:lang w:val="pt-PT"/>
        </w:rPr>
        <w:t xml:space="preserve"> </w:t>
      </w:r>
      <w:r w:rsidRPr="005309B0">
        <w:rPr>
          <w:rFonts w:ascii="Times New Roman" w:hAnsi="Times New Roman" w:cs="Times New Roman"/>
          <w:sz w:val="24"/>
          <w:szCs w:val="24"/>
          <w:shd w:val="clear" w:color="auto" w:fill="FFFFFF"/>
          <w:lang w:val="pt-PT"/>
        </w:rPr>
        <w:t xml:space="preserve">levou em consideração aspectos de incerteza, irreversibilidade e flexibilidade nesse tipo de análise para fornecer mais informações aos investidores quanto ao risco e retorno do projeto. Além disso, utilizando a avaliação por meio do ROA, os autores verificaram que os investidores também teriam a opção de adiar o projeto e viabilizá-lo no futuro, diminuindo os riscos e incertezas do investimento. No entanto, o estudo teve algumas limitações quanto à generalização da escala de volatilidades de cada variável </w:t>
      </w:r>
      <w:r w:rsidR="00255B5F" w:rsidRPr="005309B0">
        <w:rPr>
          <w:rFonts w:ascii="Times New Roman" w:hAnsi="Times New Roman" w:cs="Times New Roman"/>
          <w:sz w:val="24"/>
          <w:szCs w:val="24"/>
          <w:shd w:val="clear" w:color="auto" w:fill="FFFFFF"/>
          <w:lang w:val="pt-PT"/>
        </w:rPr>
        <w:t>(MRA, CF 0, and CFj)</w:t>
      </w:r>
      <w:r w:rsidR="00255B5F" w:rsidRPr="005309B0">
        <w:rPr>
          <w:rStyle w:val="Refdenotaderodap"/>
          <w:rFonts w:ascii="Times New Roman" w:hAnsi="Times New Roman" w:cs="Times New Roman"/>
          <w:sz w:val="24"/>
          <w:szCs w:val="24"/>
          <w:shd w:val="clear" w:color="auto" w:fill="FFFFFF"/>
          <w:lang w:val="pt-PT"/>
        </w:rPr>
        <w:t xml:space="preserve"> </w:t>
      </w:r>
      <w:r w:rsidR="00255B5F" w:rsidRPr="009342F5">
        <w:rPr>
          <w:rStyle w:val="Refdenotaderodap"/>
          <w:rFonts w:ascii="Times New Roman" w:hAnsi="Times New Roman" w:cs="Times New Roman"/>
          <w:sz w:val="24"/>
          <w:szCs w:val="24"/>
          <w:shd w:val="clear" w:color="auto" w:fill="FFFFFF"/>
        </w:rPr>
        <w:footnoteReference w:id="1"/>
      </w:r>
      <w:r w:rsidR="00255B5F" w:rsidRPr="005309B0">
        <w:rPr>
          <w:rFonts w:ascii="Times New Roman" w:hAnsi="Times New Roman" w:cs="Times New Roman"/>
          <w:sz w:val="24"/>
          <w:szCs w:val="24"/>
          <w:shd w:val="clear" w:color="auto" w:fill="FFFFFF"/>
          <w:lang w:val="pt-PT"/>
        </w:rPr>
        <w:t xml:space="preserve"> </w:t>
      </w:r>
      <w:r w:rsidRPr="005309B0">
        <w:rPr>
          <w:rFonts w:ascii="Times New Roman" w:hAnsi="Times New Roman" w:cs="Times New Roman"/>
          <w:sz w:val="24"/>
          <w:szCs w:val="24"/>
          <w:shd w:val="clear" w:color="auto" w:fill="FFFFFF"/>
          <w:lang w:val="pt-PT"/>
        </w:rPr>
        <w:t>adotados no estudo mais especificamente quanto ao método de avaliação econômica. Outra lacuna, o estudo analisou um único estudo de caso, não estendendo a pesquisa para realizar outras análises econômicas de projetos de energia renovável para cada sistema elétrico e suas estruturas regulatórias e de mercado</w:t>
      </w:r>
      <w:r>
        <w:rPr>
          <w:rFonts w:ascii="Times New Roman" w:hAnsi="Times New Roman" w:cs="Times New Roman"/>
          <w:sz w:val="24"/>
          <w:szCs w:val="24"/>
          <w:shd w:val="clear" w:color="auto" w:fill="FFFFFF"/>
          <w:lang w:val="pt-PT"/>
        </w:rPr>
        <w:t>.</w:t>
      </w:r>
      <w:r w:rsidR="00255B5F" w:rsidRPr="005309B0">
        <w:rPr>
          <w:rFonts w:ascii="Times New Roman" w:hAnsi="Times New Roman" w:cs="Times New Roman"/>
          <w:sz w:val="24"/>
          <w:szCs w:val="24"/>
          <w:shd w:val="clear" w:color="auto" w:fill="FFFFFF"/>
          <w:lang w:val="pt-PT"/>
        </w:rPr>
        <w:t xml:space="preserve"> </w:t>
      </w:r>
    </w:p>
    <w:p w14:paraId="22A5B368" w14:textId="5FF33CCA" w:rsidR="005309B0" w:rsidRPr="005309B0" w:rsidRDefault="00255B5F" w:rsidP="00691500">
      <w:pPr>
        <w:spacing w:after="0" w:line="360" w:lineRule="auto"/>
        <w:ind w:left="1134" w:firstLine="709"/>
        <w:jc w:val="both"/>
        <w:rPr>
          <w:rFonts w:ascii="Times New Roman" w:hAnsi="Times New Roman" w:cs="Times New Roman"/>
          <w:sz w:val="24"/>
          <w:szCs w:val="24"/>
          <w:shd w:val="clear" w:color="auto" w:fill="FFFFFF"/>
          <w:lang w:val="pt-PT"/>
        </w:rPr>
      </w:pPr>
      <w:r w:rsidRPr="005309B0">
        <w:rPr>
          <w:rFonts w:ascii="Times New Roman" w:hAnsi="Times New Roman" w:cs="Times New Roman"/>
          <w:sz w:val="24"/>
          <w:szCs w:val="24"/>
          <w:shd w:val="clear" w:color="auto" w:fill="FFFFFF"/>
          <w:lang w:val="pt-PT"/>
        </w:rPr>
        <w:t xml:space="preserve"> Dranka </w:t>
      </w:r>
      <w:r w:rsidRPr="005309B0">
        <w:rPr>
          <w:rFonts w:ascii="Times New Roman" w:hAnsi="Times New Roman" w:cs="Times New Roman"/>
          <w:i/>
          <w:iCs/>
          <w:sz w:val="24"/>
          <w:szCs w:val="24"/>
          <w:shd w:val="clear" w:color="auto" w:fill="FFFFFF"/>
          <w:lang w:val="pt-PT"/>
        </w:rPr>
        <w:t>et al</w:t>
      </w:r>
      <w:r w:rsidRPr="005309B0">
        <w:rPr>
          <w:rFonts w:ascii="Times New Roman" w:hAnsi="Times New Roman" w:cs="Times New Roman"/>
          <w:sz w:val="24"/>
          <w:szCs w:val="24"/>
          <w:shd w:val="clear" w:color="auto" w:fill="FFFFFF"/>
          <w:lang w:val="pt-PT"/>
        </w:rPr>
        <w:t xml:space="preserve"> </w:t>
      </w:r>
      <w:r w:rsidRPr="009342F5">
        <w:rPr>
          <w:rFonts w:ascii="Times New Roman" w:hAnsi="Times New Roman" w:cs="Times New Roman"/>
          <w:sz w:val="24"/>
          <w:szCs w:val="24"/>
          <w:shd w:val="clear" w:color="auto" w:fill="FFFFFF"/>
        </w:rPr>
        <w:fldChar w:fldCharType="begin" w:fldLock="1"/>
      </w:r>
      <w:r w:rsidR="000E6908">
        <w:rPr>
          <w:rFonts w:ascii="Times New Roman" w:hAnsi="Times New Roman" w:cs="Times New Roman"/>
          <w:sz w:val="24"/>
          <w:szCs w:val="24"/>
          <w:shd w:val="clear" w:color="auto" w:fill="FFFFFF"/>
          <w:lang w:val="pt-PT"/>
        </w:rPr>
        <w:instrText>ADDIN CSL_CITATION {"citationItems":[{"id":"ITEM-1","itemData":{"DOI":"10.3934/ENERGY.2020.2.339","ISSN":"23338334","abstract":"Typically,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Energy","id":"ITEM-1","issue":"2","issued":{"date-parts":[["2020"]]},"number-of-pages":"339-364","title":"Economic evaluation methodologies for renewable energy projects","type":"report","volume":"8"},"uris":["http://www.mendeley.com/documents/?uuid=1fe5f3e7-b22d-4e41-8980-968b25750983"]}],"mendeley":{"formattedCitation":"(23)","plainTextFormattedCitation":"(23)","previouslyFormattedCitation":"(22)"},"properties":{"noteIndex":0},"schema":"https://github.com/citation-style-language/schema/raw/master/csl-citation.json"}</w:instrText>
      </w:r>
      <w:r w:rsidRPr="009342F5">
        <w:rPr>
          <w:rFonts w:ascii="Times New Roman" w:hAnsi="Times New Roman" w:cs="Times New Roman"/>
          <w:sz w:val="24"/>
          <w:szCs w:val="24"/>
          <w:shd w:val="clear" w:color="auto" w:fill="FFFFFF"/>
        </w:rPr>
        <w:fldChar w:fldCharType="separate"/>
      </w:r>
      <w:r w:rsidR="000E6908" w:rsidRPr="000E6908">
        <w:rPr>
          <w:rFonts w:ascii="Times New Roman" w:hAnsi="Times New Roman" w:cs="Times New Roman"/>
          <w:noProof/>
          <w:sz w:val="24"/>
          <w:szCs w:val="24"/>
          <w:shd w:val="clear" w:color="auto" w:fill="FFFFFF"/>
          <w:lang w:val="pt-PT"/>
        </w:rPr>
        <w:t>(23)</w:t>
      </w:r>
      <w:r w:rsidRPr="009342F5">
        <w:rPr>
          <w:rFonts w:ascii="Times New Roman" w:hAnsi="Times New Roman" w:cs="Times New Roman"/>
          <w:sz w:val="24"/>
          <w:szCs w:val="24"/>
          <w:shd w:val="clear" w:color="auto" w:fill="FFFFFF"/>
        </w:rPr>
        <w:fldChar w:fldCharType="end"/>
      </w:r>
      <w:r w:rsidRPr="005309B0">
        <w:rPr>
          <w:rFonts w:ascii="Times New Roman" w:hAnsi="Times New Roman" w:cs="Times New Roman"/>
          <w:sz w:val="24"/>
          <w:szCs w:val="24"/>
          <w:shd w:val="clear" w:color="auto" w:fill="FFFFFF"/>
          <w:lang w:val="pt-PT"/>
        </w:rPr>
        <w:t xml:space="preserve">, </w:t>
      </w:r>
      <w:r w:rsidR="005309B0" w:rsidRPr="005309B0">
        <w:rPr>
          <w:rFonts w:ascii="Times New Roman" w:hAnsi="Times New Roman" w:cs="Times New Roman"/>
          <w:sz w:val="24"/>
          <w:szCs w:val="24"/>
          <w:shd w:val="clear" w:color="auto" w:fill="FFFFFF"/>
          <w:lang w:val="pt-PT"/>
        </w:rPr>
        <w:t>como descrito anteriormente, bem como</w:t>
      </w:r>
      <w:r w:rsidRPr="005309B0">
        <w:rPr>
          <w:rFonts w:ascii="Times New Roman" w:hAnsi="Times New Roman" w:cs="Times New Roman"/>
          <w:sz w:val="24"/>
          <w:szCs w:val="24"/>
          <w:shd w:val="clear" w:color="auto" w:fill="FFFFFF"/>
          <w:lang w:val="pt-PT"/>
        </w:rPr>
        <w:t xml:space="preserve"> Santos et al </w:t>
      </w:r>
      <w:r w:rsidRPr="009342F5">
        <w:rPr>
          <w:rFonts w:ascii="Times New Roman" w:hAnsi="Times New Roman" w:cs="Times New Roman"/>
          <w:sz w:val="24"/>
          <w:szCs w:val="24"/>
          <w:shd w:val="clear" w:color="auto" w:fill="FFFFFF"/>
        </w:rPr>
        <w:fldChar w:fldCharType="begin" w:fldLock="1"/>
      </w:r>
      <w:r w:rsidR="000E6908">
        <w:rPr>
          <w:rFonts w:ascii="Times New Roman" w:hAnsi="Times New Roman" w:cs="Times New Roman"/>
          <w:sz w:val="24"/>
          <w:szCs w:val="24"/>
          <w:shd w:val="clear" w:color="auto" w:fill="FFFFFF"/>
          <w:lang w:val="pt-PT"/>
        </w:rPr>
        <w:instrText>ADDIN CSL_CITATION {"citationItems":[{"id":"ITEM-1","itemData":{"DOI":"10.1016/j.renene.2014.01.038","ISSN":"09601481","abstract":"Several methods can be employed to evaluate investment in energy production. On one hand, traditional methods (Net Present Value (NPV) or Internal Rate of Return (IRR), for example) ignore certain project characteristics that may influence its evaluation, such as irreversibility, uncertainty and management flexibility. Nevertheless, the Real Option Approach (ROA) has an advantage over the application of traditional methods, since the prior uncertainties are taken into account. Thus, the main objective of this study is to apply ROA to a case-study (mini-hydro plant) through the use of the binomial tree developed by Cox, Ross and Rubinstein in 1979. This study concludes that the value of ROA is higher than the value of NPV because the investor can get better information and uncertainty is reduced when he has the option to defer the investment. In addition to providing a deep analysis on the major gaps in energy investment evaluation, this work contributes to a better understanding of the usefulness of ROA. © 2014 Elsevier Ltd.","author":[{"dropping-particle":"","family":"Santos","given":"Lúcia","non-dropping-particle":"","parse-names":false,"suffix":""},{"dropping-particle":"","family":"Soares","given":"Isabel","non-dropping-particle":"","parse-names":false,"suffix":""},{"dropping-particle":"","family":"Mendes","given":"Carla","non-dropping-particle":"","parse-names":false,"suffix":""},{"dropping-particle":"","family":"Ferreira","given":"Paula","non-dropping-particle":"","parse-names":false,"suffix":""}],"container-title":"Renewable Energy","id":"ITEM-1","issued":{"date-parts":[["2014"]]},"page":"588-594","publisher":"Elsevier Ltd","title":"Real Options versus Traditional Methods to assess Renewable Energy Projects","type":"article-journal","volume":"68"},"uris":["http://www.mendeley.com/documents/?uuid=f9da8d5d-d12d-4a65-82dd-22b66ec8e351"]}],"mendeley":{"formattedCitation":"(14)","plainTextFormattedCitation":"(14)","previouslyFormattedCitation":"(13)"},"properties":{"noteIndex":0},"schema":"https://github.com/citation-style-language/schema/raw/master/csl-citation.json"}</w:instrText>
      </w:r>
      <w:r w:rsidRPr="009342F5">
        <w:rPr>
          <w:rFonts w:ascii="Times New Roman" w:hAnsi="Times New Roman" w:cs="Times New Roman"/>
          <w:sz w:val="24"/>
          <w:szCs w:val="24"/>
          <w:shd w:val="clear" w:color="auto" w:fill="FFFFFF"/>
        </w:rPr>
        <w:fldChar w:fldCharType="separate"/>
      </w:r>
      <w:r w:rsidR="000E6908" w:rsidRPr="000E6908">
        <w:rPr>
          <w:rFonts w:ascii="Times New Roman" w:hAnsi="Times New Roman" w:cs="Times New Roman"/>
          <w:noProof/>
          <w:sz w:val="24"/>
          <w:szCs w:val="24"/>
          <w:shd w:val="clear" w:color="auto" w:fill="FFFFFF"/>
          <w:lang w:val="pt-PT"/>
        </w:rPr>
        <w:t>(14)</w:t>
      </w:r>
      <w:r w:rsidRPr="009342F5">
        <w:rPr>
          <w:rFonts w:ascii="Times New Roman" w:hAnsi="Times New Roman" w:cs="Times New Roman"/>
          <w:sz w:val="24"/>
          <w:szCs w:val="24"/>
          <w:shd w:val="clear" w:color="auto" w:fill="FFFFFF"/>
        </w:rPr>
        <w:fldChar w:fldCharType="end"/>
      </w:r>
      <w:r w:rsidRPr="005309B0">
        <w:rPr>
          <w:rFonts w:ascii="Times New Roman" w:hAnsi="Times New Roman" w:cs="Times New Roman"/>
          <w:sz w:val="24"/>
          <w:szCs w:val="24"/>
          <w:shd w:val="clear" w:color="auto" w:fill="FFFFFF"/>
          <w:lang w:val="pt-PT"/>
        </w:rPr>
        <w:t xml:space="preserve">, </w:t>
      </w:r>
      <w:r w:rsidR="005309B0" w:rsidRPr="005309B0">
        <w:rPr>
          <w:rFonts w:ascii="Times New Roman" w:hAnsi="Times New Roman" w:cs="Times New Roman"/>
          <w:sz w:val="24"/>
          <w:szCs w:val="24"/>
          <w:shd w:val="clear" w:color="auto" w:fill="FFFFFF"/>
          <w:lang w:val="pt-PT"/>
        </w:rPr>
        <w:t>ambos deram maior ênfase ao método de análise ROA quando comparados às metodologias CMIA.</w:t>
      </w:r>
      <w:r w:rsidRPr="005309B0">
        <w:rPr>
          <w:rFonts w:ascii="Times New Roman" w:hAnsi="Times New Roman" w:cs="Times New Roman"/>
          <w:sz w:val="24"/>
          <w:szCs w:val="24"/>
          <w:shd w:val="clear" w:color="auto" w:fill="FFFFFF"/>
          <w:lang w:val="pt-PT"/>
        </w:rPr>
        <w:t xml:space="preserve"> Santos </w:t>
      </w:r>
      <w:r w:rsidRPr="005309B0">
        <w:rPr>
          <w:rFonts w:ascii="Times New Roman" w:hAnsi="Times New Roman" w:cs="Times New Roman"/>
          <w:i/>
          <w:iCs/>
          <w:sz w:val="24"/>
          <w:szCs w:val="24"/>
          <w:shd w:val="clear" w:color="auto" w:fill="FFFFFF"/>
          <w:lang w:val="pt-PT"/>
        </w:rPr>
        <w:t xml:space="preserve">et al </w:t>
      </w:r>
      <w:r w:rsidRPr="009342F5">
        <w:rPr>
          <w:rFonts w:ascii="Times New Roman" w:hAnsi="Times New Roman" w:cs="Times New Roman"/>
          <w:sz w:val="24"/>
          <w:szCs w:val="24"/>
          <w:shd w:val="clear" w:color="auto" w:fill="FFFFFF"/>
        </w:rPr>
        <w:fldChar w:fldCharType="begin" w:fldLock="1"/>
      </w:r>
      <w:r w:rsidR="000E6908">
        <w:rPr>
          <w:rFonts w:ascii="Times New Roman" w:hAnsi="Times New Roman" w:cs="Times New Roman"/>
          <w:sz w:val="24"/>
          <w:szCs w:val="24"/>
          <w:shd w:val="clear" w:color="auto" w:fill="FFFFFF"/>
          <w:lang w:val="pt-PT"/>
        </w:rPr>
        <w:instrText>ADDIN CSL_CITATION {"citationItems":[{"id":"ITEM-1","itemData":{"DOI":"10.1016/j.renene.2014.01.038","ISSN":"09601481","abstract":"Several methods can be employed to evaluate investment in energy production. On one hand, traditional methods (Net Present Value (NPV) or Internal Rate of Return (IRR), for example) ignore certain project characteristics that may influence its evaluation, such as irreversibility, uncertainty and management flexibility. Nevertheless, the Real Option Approach (ROA) has an advantage over the application of traditional methods, since the prior uncertainties are taken into account. Thus, the main objective of this study is to apply ROA to a case-study (mini-hydro plant) through the use of the binomial tree developed by Cox, Ross and Rubinstein in 1979. This study concludes that the value of ROA is higher than the value of NPV because the investor can get better information and uncertainty is reduced when he has the option to defer the investment. In addition to providing a deep analysis on the major gaps in energy investment evaluation, this work contributes to a better understanding of the usefulness of ROA. © 2014 Elsevier Ltd.","author":[{"dropping-particle":"","family":"Santos","given":"Lúcia","non-dropping-particle":"","parse-names":false,"suffix":""},{"dropping-particle":"","family":"Soares","given":"Isabel","non-dropping-particle":"","parse-names":false,"suffix":""},{"dropping-particle":"","family":"Mendes","given":"Carla","non-dropping-particle":"","parse-names":false,"suffix":""},{"dropping-particle":"","family":"Ferreira","given":"Paula","non-dropping-particle":"","parse-names":false,"suffix":""}],"container-title":"Renewable Energy","id":"ITEM-1","issued":{"date-parts":[["2014"]]},"page":"588-594","publisher":"Elsevier Ltd","title":"Real Options versus Traditional Methods to assess Renewable Energy Projects","type":"article-journal","volume":"68"},"uris":["http://www.mendeley.com/documents/?uuid=f9da8d5d-d12d-4a65-82dd-22b66ec8e351"]}],"mendeley":{"formattedCitation":"(14)","plainTextFormattedCitation":"(14)","previouslyFormattedCitation":"(13)"},"properties":{"noteIndex":0},"schema":"https://github.com/citation-style-language/schema/raw/master/csl-citation.json"}</w:instrText>
      </w:r>
      <w:r w:rsidRPr="009342F5">
        <w:rPr>
          <w:rFonts w:ascii="Times New Roman" w:hAnsi="Times New Roman" w:cs="Times New Roman"/>
          <w:sz w:val="24"/>
          <w:szCs w:val="24"/>
          <w:shd w:val="clear" w:color="auto" w:fill="FFFFFF"/>
        </w:rPr>
        <w:fldChar w:fldCharType="separate"/>
      </w:r>
      <w:r w:rsidR="000E6908" w:rsidRPr="000E6908">
        <w:rPr>
          <w:rFonts w:ascii="Times New Roman" w:hAnsi="Times New Roman" w:cs="Times New Roman"/>
          <w:noProof/>
          <w:sz w:val="24"/>
          <w:szCs w:val="24"/>
          <w:shd w:val="clear" w:color="auto" w:fill="FFFFFF"/>
          <w:lang w:val="pt-PT"/>
        </w:rPr>
        <w:t>(14)</w:t>
      </w:r>
      <w:r w:rsidRPr="009342F5">
        <w:rPr>
          <w:rFonts w:ascii="Times New Roman" w:hAnsi="Times New Roman" w:cs="Times New Roman"/>
          <w:sz w:val="24"/>
          <w:szCs w:val="24"/>
          <w:shd w:val="clear" w:color="auto" w:fill="FFFFFF"/>
        </w:rPr>
        <w:fldChar w:fldCharType="end"/>
      </w:r>
      <w:r w:rsidRPr="005309B0">
        <w:rPr>
          <w:rFonts w:ascii="Times New Roman" w:hAnsi="Times New Roman" w:cs="Times New Roman"/>
          <w:sz w:val="24"/>
          <w:szCs w:val="24"/>
          <w:shd w:val="clear" w:color="auto" w:fill="FFFFFF"/>
          <w:lang w:val="pt-PT"/>
        </w:rPr>
        <w:t xml:space="preserve"> </w:t>
      </w:r>
      <w:r w:rsidR="005309B0" w:rsidRPr="005309B0">
        <w:rPr>
          <w:rFonts w:ascii="Times New Roman" w:hAnsi="Times New Roman" w:cs="Times New Roman"/>
          <w:sz w:val="24"/>
          <w:szCs w:val="24"/>
          <w:shd w:val="clear" w:color="auto" w:fill="FFFFFF"/>
          <w:lang w:val="pt-PT"/>
        </w:rPr>
        <w:t>mencionam que o uso do CMIA pode levar a uma avaliação econômica excessivamente simples do projeto, conforme os mesmos aspectos já destacados por</w:t>
      </w:r>
      <w:r w:rsidRPr="005309B0">
        <w:rPr>
          <w:rFonts w:ascii="Times New Roman" w:hAnsi="Times New Roman" w:cs="Times New Roman"/>
          <w:sz w:val="24"/>
          <w:szCs w:val="24"/>
          <w:shd w:val="clear" w:color="auto" w:fill="FFFFFF"/>
          <w:lang w:val="pt-PT"/>
        </w:rPr>
        <w:t xml:space="preserve"> Dranka </w:t>
      </w:r>
      <w:r w:rsidRPr="005309B0">
        <w:rPr>
          <w:rFonts w:ascii="Times New Roman" w:hAnsi="Times New Roman" w:cs="Times New Roman"/>
          <w:i/>
          <w:iCs/>
          <w:sz w:val="24"/>
          <w:szCs w:val="24"/>
          <w:shd w:val="clear" w:color="auto" w:fill="FFFFFF"/>
          <w:lang w:val="pt-PT"/>
        </w:rPr>
        <w:t>et al</w:t>
      </w:r>
      <w:r w:rsidRPr="005309B0">
        <w:rPr>
          <w:rFonts w:ascii="Times New Roman" w:hAnsi="Times New Roman" w:cs="Times New Roman"/>
          <w:sz w:val="24"/>
          <w:szCs w:val="24"/>
          <w:shd w:val="clear" w:color="auto" w:fill="FFFFFF"/>
          <w:lang w:val="pt-PT"/>
        </w:rPr>
        <w:t xml:space="preserve"> </w:t>
      </w:r>
      <w:r w:rsidRPr="009342F5">
        <w:rPr>
          <w:rFonts w:ascii="Times New Roman" w:hAnsi="Times New Roman" w:cs="Times New Roman"/>
          <w:sz w:val="24"/>
          <w:szCs w:val="24"/>
          <w:shd w:val="clear" w:color="auto" w:fill="FFFFFF"/>
        </w:rPr>
        <w:fldChar w:fldCharType="begin" w:fldLock="1"/>
      </w:r>
      <w:r w:rsidR="000E6908">
        <w:rPr>
          <w:rFonts w:ascii="Times New Roman" w:hAnsi="Times New Roman" w:cs="Times New Roman"/>
          <w:sz w:val="24"/>
          <w:szCs w:val="24"/>
          <w:shd w:val="clear" w:color="auto" w:fill="FFFFFF"/>
          <w:lang w:val="pt-PT"/>
        </w:rPr>
        <w:instrText>ADDIN CSL_CITATION {"citationItems":[{"id":"ITEM-1","itemData":{"DOI":"10.3934/ENERGY.2020.2.339","ISSN":"23338334","abstract":"Typically,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Energy","id":"ITEM-1","issue":"2","issued":{"date-parts":[["2020"]]},"number-of-pages":"339-364","title":"Economic evaluation methodologies for renewable energy projects","type":"report","volume":"8"},"uris":["http://www.mendeley.com/documents/?uuid=1fe5f3e7-b22d-4e41-8980-968b25750983"]}],"mendeley":{"formattedCitation":"(23)","plainTextFormattedCitation":"(23)","previouslyFormattedCitation":"(22)"},"properties":{"noteIndex":0},"schema":"https://github.com/citation-style-language/schema/raw/master/csl-citation.json"}</w:instrText>
      </w:r>
      <w:r w:rsidRPr="009342F5">
        <w:rPr>
          <w:rFonts w:ascii="Times New Roman" w:hAnsi="Times New Roman" w:cs="Times New Roman"/>
          <w:sz w:val="24"/>
          <w:szCs w:val="24"/>
          <w:shd w:val="clear" w:color="auto" w:fill="FFFFFF"/>
        </w:rPr>
        <w:fldChar w:fldCharType="separate"/>
      </w:r>
      <w:r w:rsidR="000E6908" w:rsidRPr="000E6908">
        <w:rPr>
          <w:rFonts w:ascii="Times New Roman" w:hAnsi="Times New Roman" w:cs="Times New Roman"/>
          <w:noProof/>
          <w:sz w:val="24"/>
          <w:szCs w:val="24"/>
          <w:shd w:val="clear" w:color="auto" w:fill="FFFFFF"/>
          <w:lang w:val="pt-PT"/>
        </w:rPr>
        <w:t>(23)</w:t>
      </w:r>
      <w:r w:rsidRPr="009342F5">
        <w:rPr>
          <w:rFonts w:ascii="Times New Roman" w:hAnsi="Times New Roman" w:cs="Times New Roman"/>
          <w:sz w:val="24"/>
          <w:szCs w:val="24"/>
          <w:shd w:val="clear" w:color="auto" w:fill="FFFFFF"/>
        </w:rPr>
        <w:fldChar w:fldCharType="end"/>
      </w:r>
      <w:r w:rsidRPr="005309B0">
        <w:rPr>
          <w:rFonts w:ascii="Times New Roman" w:hAnsi="Times New Roman" w:cs="Times New Roman"/>
          <w:sz w:val="24"/>
          <w:szCs w:val="24"/>
          <w:shd w:val="clear" w:color="auto" w:fill="FFFFFF"/>
          <w:lang w:val="pt-PT"/>
        </w:rPr>
        <w:t xml:space="preserve">, </w:t>
      </w:r>
      <w:r w:rsidR="005309B0" w:rsidRPr="005309B0">
        <w:rPr>
          <w:rFonts w:ascii="Times New Roman" w:hAnsi="Times New Roman" w:cs="Times New Roman"/>
          <w:sz w:val="24"/>
          <w:szCs w:val="24"/>
          <w:shd w:val="clear" w:color="auto" w:fill="FFFFFF"/>
          <w:lang w:val="pt-PT"/>
        </w:rPr>
        <w:t>ou seja</w:t>
      </w:r>
      <w:r w:rsidRPr="005309B0">
        <w:rPr>
          <w:rFonts w:ascii="Times New Roman" w:hAnsi="Times New Roman" w:cs="Times New Roman"/>
          <w:sz w:val="24"/>
          <w:szCs w:val="24"/>
          <w:shd w:val="clear" w:color="auto" w:fill="FFFFFF"/>
          <w:lang w:val="pt-PT"/>
        </w:rPr>
        <w:t xml:space="preserve">., </w:t>
      </w:r>
      <w:r w:rsidR="005309B0" w:rsidRPr="005309B0">
        <w:rPr>
          <w:rFonts w:ascii="Times New Roman" w:hAnsi="Times New Roman" w:cs="Times New Roman"/>
          <w:sz w:val="24"/>
          <w:szCs w:val="24"/>
          <w:shd w:val="clear" w:color="auto" w:fill="FFFFFF"/>
          <w:lang w:val="pt-PT"/>
        </w:rPr>
        <w:t xml:space="preserve">incerteza, irreversibilidade e flexibilidade. No entanto, o CMIA é de suma importância para fornecer aos investidores informações mais reais sobre as condições do mercado e reduzir as incertezas inerentes às energias renováveis. As limitações mencionadas por </w:t>
      </w:r>
      <w:r w:rsidRPr="005309B0">
        <w:rPr>
          <w:rFonts w:ascii="Times New Roman" w:hAnsi="Times New Roman" w:cs="Times New Roman"/>
          <w:sz w:val="24"/>
          <w:szCs w:val="24"/>
          <w:shd w:val="clear" w:color="auto" w:fill="FFFFFF"/>
          <w:lang w:val="pt-PT"/>
        </w:rPr>
        <w:t xml:space="preserve">Santos </w:t>
      </w:r>
      <w:r w:rsidRPr="005309B0">
        <w:rPr>
          <w:rFonts w:ascii="Times New Roman" w:hAnsi="Times New Roman" w:cs="Times New Roman"/>
          <w:i/>
          <w:iCs/>
          <w:sz w:val="24"/>
          <w:szCs w:val="24"/>
          <w:shd w:val="clear" w:color="auto" w:fill="FFFFFF"/>
          <w:lang w:val="pt-PT"/>
        </w:rPr>
        <w:t>et al</w:t>
      </w:r>
      <w:r w:rsidRPr="005309B0">
        <w:rPr>
          <w:rFonts w:ascii="Times New Roman" w:hAnsi="Times New Roman" w:cs="Times New Roman"/>
          <w:sz w:val="24"/>
          <w:szCs w:val="24"/>
          <w:shd w:val="clear" w:color="auto" w:fill="FFFFFF"/>
          <w:lang w:val="pt-PT"/>
        </w:rPr>
        <w:t xml:space="preserve"> </w:t>
      </w:r>
      <w:r w:rsidRPr="009342F5">
        <w:rPr>
          <w:rFonts w:ascii="Times New Roman" w:hAnsi="Times New Roman" w:cs="Times New Roman"/>
          <w:sz w:val="24"/>
          <w:szCs w:val="24"/>
          <w:shd w:val="clear" w:color="auto" w:fill="FFFFFF"/>
        </w:rPr>
        <w:fldChar w:fldCharType="begin" w:fldLock="1"/>
      </w:r>
      <w:r w:rsidR="000E6908">
        <w:rPr>
          <w:rFonts w:ascii="Times New Roman" w:hAnsi="Times New Roman" w:cs="Times New Roman"/>
          <w:sz w:val="24"/>
          <w:szCs w:val="24"/>
          <w:shd w:val="clear" w:color="auto" w:fill="FFFFFF"/>
          <w:lang w:val="pt-PT"/>
        </w:rPr>
        <w:instrText>ADDIN CSL_CITATION {"citationItems":[{"id":"ITEM-1","itemData":{"DOI":"10.1016/j.renene.2014.01.038","ISSN":"09601481","abstract":"Several methods can be employed to evaluate investment in energy production. On one hand, traditional methods (Net Present Value (NPV) or Internal Rate of Return (IRR), for example) ignore certain project characteristics that may influence its evaluation, such as irreversibility, uncertainty and management flexibility. Nevertheless, the Real Option Approach (ROA) has an advantage over the application of traditional methods, since the prior uncertainties are taken into account. Thus, the main objective of this study is to apply ROA to a case-study (mini-hydro plant) through the use of the binomial tree developed by Cox, Ross and Rubinstein in 1979. This study concludes that the value of ROA is higher than the value of NPV because the investor can get better information and uncertainty is reduced when he has the option to defer the investment. In addition to providing a deep analysis on the major gaps in energy investment evaluation, this work contributes to a better understanding of the usefulness of ROA. © 2014 Elsevier Ltd.","author":[{"dropping-particle":"","family":"Santos","given":"Lúcia","non-dropping-particle":"","parse-names":false,"suffix":""},{"dropping-particle":"","family":"Soares","given":"Isabel","non-dropping-particle":"","parse-names":false,"suffix":""},{"dropping-particle":"","family":"Mendes","given":"Carla","non-dropping-particle":"","parse-names":false,"suffix":""},{"dropping-particle":"","family":"Ferreira","given":"Paula","non-dropping-particle":"","parse-names":false,"suffix":""}],"container-title":"Renewable Energy","id":"ITEM-1","issued":{"date-parts":[["2014"]]},"page":"588-594","publisher":"Elsevier Ltd","title":"Real Options versus Traditional Methods to assess Renewable Energy Projects","type":"article-journal","volume":"68"},"uris":["http://www.mendeley.com/documents/?uuid=f9da8d5d-d12d-4a65-82dd-22b66ec8e351"]}],"mendeley":{"formattedCitation":"(14)","plainTextFormattedCitation":"(14)","previouslyFormattedCitation":"(13)"},"properties":{"noteIndex":0},"schema":"https://github.com/citation-style-language/schema/raw/master/csl-citation.json"}</w:instrText>
      </w:r>
      <w:r w:rsidRPr="009342F5">
        <w:rPr>
          <w:rFonts w:ascii="Times New Roman" w:hAnsi="Times New Roman" w:cs="Times New Roman"/>
          <w:sz w:val="24"/>
          <w:szCs w:val="24"/>
          <w:shd w:val="clear" w:color="auto" w:fill="FFFFFF"/>
        </w:rPr>
        <w:fldChar w:fldCharType="separate"/>
      </w:r>
      <w:r w:rsidR="000E6908" w:rsidRPr="000E6908">
        <w:rPr>
          <w:rFonts w:ascii="Times New Roman" w:hAnsi="Times New Roman" w:cs="Times New Roman"/>
          <w:noProof/>
          <w:sz w:val="24"/>
          <w:szCs w:val="24"/>
          <w:shd w:val="clear" w:color="auto" w:fill="FFFFFF"/>
          <w:lang w:val="pt-PT"/>
        </w:rPr>
        <w:t>(14)</w:t>
      </w:r>
      <w:r w:rsidRPr="009342F5">
        <w:rPr>
          <w:rFonts w:ascii="Times New Roman" w:hAnsi="Times New Roman" w:cs="Times New Roman"/>
          <w:sz w:val="24"/>
          <w:szCs w:val="24"/>
          <w:shd w:val="clear" w:color="auto" w:fill="FFFFFF"/>
        </w:rPr>
        <w:fldChar w:fldCharType="end"/>
      </w:r>
      <w:r w:rsidRPr="005309B0">
        <w:rPr>
          <w:rFonts w:ascii="Times New Roman" w:hAnsi="Times New Roman" w:cs="Times New Roman"/>
          <w:sz w:val="24"/>
          <w:szCs w:val="24"/>
          <w:shd w:val="clear" w:color="auto" w:fill="FFFFFF"/>
          <w:lang w:val="pt-PT"/>
        </w:rPr>
        <w:t xml:space="preserve"> </w:t>
      </w:r>
      <w:r w:rsidR="005309B0" w:rsidRPr="005309B0">
        <w:rPr>
          <w:rFonts w:ascii="Times New Roman" w:hAnsi="Times New Roman" w:cs="Times New Roman"/>
          <w:sz w:val="24"/>
          <w:szCs w:val="24"/>
          <w:shd w:val="clear" w:color="auto" w:fill="FFFFFF"/>
          <w:lang w:val="pt-PT"/>
        </w:rPr>
        <w:t xml:space="preserve">ao estudo são grandes porque não levaram em conta os custos </w:t>
      </w:r>
      <w:r w:rsidR="005309B0" w:rsidRPr="005309B0">
        <w:rPr>
          <w:rFonts w:ascii="Times New Roman" w:hAnsi="Times New Roman" w:cs="Times New Roman"/>
          <w:sz w:val="24"/>
          <w:szCs w:val="24"/>
          <w:shd w:val="clear" w:color="auto" w:fill="FFFFFF"/>
          <w:lang w:val="pt-PT"/>
        </w:rPr>
        <w:lastRenderedPageBreak/>
        <w:t>de adiar o projeto quando não for viável dentro de um determinado período. Além disso, outras incertezas não consideradas no estudo, como demanda, regulação e custos de construção, poderiam ter sido incluídas em modelos mais sofisticados.</w:t>
      </w:r>
    </w:p>
    <w:p w14:paraId="33FB74E8" w14:textId="58BEA0EA" w:rsidR="003D508B" w:rsidRPr="005309B0" w:rsidRDefault="005309B0" w:rsidP="00691500">
      <w:pPr>
        <w:spacing w:after="0" w:line="360" w:lineRule="auto"/>
        <w:ind w:left="1134" w:firstLine="709"/>
        <w:jc w:val="both"/>
        <w:rPr>
          <w:rFonts w:ascii="Times New Roman" w:hAnsi="Times New Roman" w:cs="Times New Roman"/>
          <w:sz w:val="24"/>
          <w:szCs w:val="24"/>
          <w:shd w:val="clear" w:color="auto" w:fill="FFFFFF"/>
          <w:lang w:val="pt-PT"/>
        </w:rPr>
      </w:pPr>
      <w:r w:rsidRPr="005309B0">
        <w:rPr>
          <w:rFonts w:ascii="Times New Roman" w:hAnsi="Times New Roman" w:cs="Times New Roman"/>
          <w:sz w:val="24"/>
          <w:szCs w:val="24"/>
          <w:shd w:val="clear" w:color="auto" w:fill="FFFFFF"/>
          <w:lang w:val="pt-PT"/>
        </w:rPr>
        <w:t xml:space="preserve">Na perspectiva de </w:t>
      </w:r>
      <w:r w:rsidR="00255B5F" w:rsidRPr="005309B0">
        <w:rPr>
          <w:rFonts w:ascii="Times New Roman" w:hAnsi="Times New Roman" w:cs="Times New Roman"/>
          <w:sz w:val="24"/>
          <w:szCs w:val="24"/>
          <w:shd w:val="clear" w:color="auto" w:fill="FFFFFF"/>
          <w:lang w:val="pt-PT"/>
        </w:rPr>
        <w:t>Delapedra-Silva et al</w:t>
      </w:r>
      <w:r w:rsidR="00921576" w:rsidRPr="005309B0">
        <w:rPr>
          <w:rFonts w:ascii="Times New Roman" w:hAnsi="Times New Roman" w:cs="Times New Roman"/>
          <w:sz w:val="24"/>
          <w:szCs w:val="24"/>
          <w:shd w:val="clear" w:color="auto" w:fill="FFFFFF"/>
          <w:lang w:val="pt-PT"/>
        </w:rPr>
        <w:t xml:space="preserve"> </w:t>
      </w:r>
      <w:r w:rsidR="00921576" w:rsidRPr="009342F5">
        <w:rPr>
          <w:rFonts w:ascii="Times New Roman" w:hAnsi="Times New Roman" w:cs="Times New Roman"/>
          <w:sz w:val="24"/>
          <w:szCs w:val="24"/>
          <w:shd w:val="clear" w:color="auto" w:fill="FFFFFF"/>
        </w:rPr>
        <w:fldChar w:fldCharType="begin" w:fldLock="1"/>
      </w:r>
      <w:r w:rsidR="000E6908">
        <w:rPr>
          <w:rFonts w:ascii="Times New Roman" w:hAnsi="Times New Roman" w:cs="Times New Roman"/>
          <w:sz w:val="24"/>
          <w:szCs w:val="24"/>
          <w:shd w:val="clear" w:color="auto" w:fill="FFFFFF"/>
          <w:lang w:val="pt-PT"/>
        </w:rPr>
        <w:instrText>ADDIN CSL_CITATION {"citationItems":[{"id":"ITEM-1","itemData":{"DOI":"10.3390/pr10020184","ISSN":"22279717","abstract":"The financial evaluation of renewable energy sources (RES) projects is well explored in the literature, but many different methods have been followed by different authors. Then, it is important to understand if and how these methods have been changing and what factors may have driven new approaches. Therefore, this article aims to explore the publications on the financial evaluation of RES projects from 2011 to 2020 and to present a critical analysis of the reviewed literature. The methods for evaluating RES projects were grouped into four categories: (i) traditional metrics based on net present value, internal rate of return, and payback period; (ii) levelized cost of electricity; (iii) return on investment approach; and (iv) real options analysis. A quantitative analysis was carried out considering aspects related to the relevance of the authors, productivity by country, and the most relevant journals for each of these groups. Then, a qualitative analysis of the main characteristics of the five most cited articles in each group was conducted. The results show that the more traditional methods are still widely used for the financial evaluation of RES projects. However, approaches based on the levelized cost and real options have been growing in importance to tackle the complex features of financial evaluation and comparison of RES projects.","author":[{"dropping-particle":"","family":"Delapedra-Silva","given":"Vanderson","non-dropping-particle":"","parse-names":false,"suffix":""},{"dropping-particle":"","family":"Ferreira","given":"Paula","non-dropping-particle":"","parse-names":false,"suffix":""},{"dropping-particle":"","family":"Cunha","given":"Jorge","non-dropping-particle":"","parse-names":false,"suffix":""},{"dropping-particle":"","family":"Kimura","given":"Herbert","non-dropping-particle":"","parse-names":false,"suffix":""}],"container-title":"Processes","id":"ITEM-1","issue":"2","issued":{"date-parts":[["2022"]]},"title":"Methods for Financial Assessment of Renewable Energy Projects: A Review","type":"article-journal","volume":"10"},"uris":["http://www.mendeley.com/documents/?uuid=5c97fdd7-6e8b-47f5-be71-fbac2fba7c0b"]}],"mendeley":{"formattedCitation":"(37)","plainTextFormattedCitation":"(37)","previouslyFormattedCitation":"(36)"},"properties":{"noteIndex":0},"schema":"https://github.com/citation-style-language/schema/raw/master/csl-citation.json"}</w:instrText>
      </w:r>
      <w:r w:rsidR="00921576" w:rsidRPr="009342F5">
        <w:rPr>
          <w:rFonts w:ascii="Times New Roman" w:hAnsi="Times New Roman" w:cs="Times New Roman"/>
          <w:sz w:val="24"/>
          <w:szCs w:val="24"/>
          <w:shd w:val="clear" w:color="auto" w:fill="FFFFFF"/>
        </w:rPr>
        <w:fldChar w:fldCharType="separate"/>
      </w:r>
      <w:r w:rsidR="000E6908" w:rsidRPr="000E6908">
        <w:rPr>
          <w:rFonts w:ascii="Times New Roman" w:hAnsi="Times New Roman" w:cs="Times New Roman"/>
          <w:noProof/>
          <w:sz w:val="24"/>
          <w:szCs w:val="24"/>
          <w:shd w:val="clear" w:color="auto" w:fill="FFFFFF"/>
          <w:lang w:val="pt-PT"/>
        </w:rPr>
        <w:t>(37)</w:t>
      </w:r>
      <w:r w:rsidR="00921576" w:rsidRPr="009342F5">
        <w:rPr>
          <w:rFonts w:ascii="Times New Roman" w:hAnsi="Times New Roman" w:cs="Times New Roman"/>
          <w:sz w:val="24"/>
          <w:szCs w:val="24"/>
          <w:shd w:val="clear" w:color="auto" w:fill="FFFFFF"/>
        </w:rPr>
        <w:fldChar w:fldCharType="end"/>
      </w:r>
      <w:r w:rsidR="00255B5F" w:rsidRPr="005309B0">
        <w:rPr>
          <w:rFonts w:ascii="Times New Roman" w:hAnsi="Times New Roman" w:cs="Times New Roman"/>
          <w:sz w:val="24"/>
          <w:szCs w:val="24"/>
          <w:shd w:val="clear" w:color="auto" w:fill="FFFFFF"/>
          <w:lang w:val="pt-PT"/>
        </w:rPr>
        <w:t xml:space="preserve">, </w:t>
      </w:r>
      <w:r w:rsidRPr="005309B0">
        <w:rPr>
          <w:rFonts w:ascii="Times New Roman" w:hAnsi="Times New Roman" w:cs="Times New Roman"/>
          <w:sz w:val="24"/>
          <w:szCs w:val="24"/>
          <w:shd w:val="clear" w:color="auto" w:fill="FFFFFF"/>
          <w:lang w:val="pt-PT"/>
        </w:rPr>
        <w:t xml:space="preserve">embora reconheçam as limitações da avaliação dos métodos </w:t>
      </w:r>
      <w:r>
        <w:rPr>
          <w:rFonts w:ascii="Times New Roman" w:hAnsi="Times New Roman" w:cs="Times New Roman"/>
          <w:sz w:val="24"/>
          <w:szCs w:val="24"/>
          <w:shd w:val="clear" w:color="auto" w:fill="FFFFFF"/>
          <w:lang w:val="pt-PT"/>
        </w:rPr>
        <w:t>VPL</w:t>
      </w:r>
      <w:r w:rsidRPr="005309B0">
        <w:rPr>
          <w:rFonts w:ascii="Times New Roman" w:hAnsi="Times New Roman" w:cs="Times New Roman"/>
          <w:sz w:val="24"/>
          <w:szCs w:val="24"/>
          <w:shd w:val="clear" w:color="auto" w:fill="FFFFFF"/>
          <w:lang w:val="pt-PT"/>
        </w:rPr>
        <w:t xml:space="preserve">, Payback e TIR na tomada de decisão de investimento, também admitem que ainda são ferramentas de orientação amplamente utilizadas para o critério de decisão, principalmente, quando se trata de decidir se um projeto de investimento é viável ou não, ou seja, quando o VPL for maior que zero e a TIR for maior que o retorno do capital exigido pelo investidor </w:t>
      </w:r>
      <w:r w:rsidR="00255B5F" w:rsidRPr="009342F5">
        <w:rPr>
          <w:rFonts w:ascii="Times New Roman" w:hAnsi="Times New Roman" w:cs="Times New Roman"/>
          <w:sz w:val="24"/>
          <w:szCs w:val="24"/>
          <w:shd w:val="clear" w:color="auto" w:fill="FFFFFF"/>
        </w:rPr>
        <w:fldChar w:fldCharType="begin" w:fldLock="1"/>
      </w:r>
      <w:r w:rsidR="000E6908">
        <w:rPr>
          <w:rFonts w:ascii="Times New Roman" w:hAnsi="Times New Roman" w:cs="Times New Roman"/>
          <w:sz w:val="24"/>
          <w:szCs w:val="24"/>
          <w:shd w:val="clear" w:color="auto" w:fill="FFFFFF"/>
          <w:lang w:val="pt-PT"/>
        </w:rPr>
        <w:instrText>ADDIN CSL_CITATION {"citationItems":[{"id":"ITEM-1","itemData":{"DOI":"10.1016/j.rser.2015.01.068","ISSN":"18790690","abstract":"This paper provides a comprehensive review of the current state of the art of the economics and socio-economics of ocean renewable energy (ORE); the many ways in which the viability and impacts of an ORE project are assessed, and an analysis of the current weaknesses, issues or inappropriateness of the metrics and methodologies used in their definition and presentation. The outcomes of this paper are anticipated to benefit the ORE and wider renewable sector as a whole. The review revealed that, for the most part, the current study of economics and socio-economics of ORE remain separate and discrete areas of research. The economic methods utilised appear to be comprehensive but are limited to project (or private investor) level. The methods identified for socioeconomic assessment fall between traditional, and now routine, environmental assessment approaches and more novel holistic approaches such as ecosystem services and life cycle assessment. The novel section of the paper explored the connectivity between the economics and socio-economics of ORE in relation to project developments and policy/planning. A visualisation method was created of concentric rings intersected by related axis of economic, socio-economic and environment, and enabled the examination of the benefits arising from the connectivity between the two spheres. The concept of sustainable development process and the integration of environmental assessment for ORE was also explored and how it responds to differing stakeholder aspirations and interpretations. The analysis revealed that there was a divergence between public and private economic and socioeconomic assessments for ORE: environmental assessment is primarily a public responsibility but with significant inputs from the private developer involved while economic assessments are conducted primarily by the developer and/or investor at their own behest. However, the two spheres of economic and socio-economic for ORE are highly connected and synergistic and must be examined in a holistic manner.","author":[{"dropping-particle":"","family":"Dalton","given":"Gordon","non-dropping-particle":"","parse-names":false,"suffix":""},{"dropping-particle":"","family":"Allan","given":"Grant","non-dropping-particle":"","parse-names":false,"suffix":""},{"dropping-particle":"","family":"Beaumont","given":"Nicola","non-dropping-particle":"","parse-names":false,"suffix":""},{"dropping-particle":"","family":"Georgakaki","given":"Aliki","non-dropping-particle":"","parse-names":false,"suffix":""},{"dropping-particle":"","family":"Hacking","given":"Nick","non-dropping-particle":"","parse-names":false,"suffix":""},{"dropping-particle":"","family":"Hooper","given":"Tara","non-dropping-particle":"","parse-names":false,"suffix":""},{"dropping-particle":"","family":"Kerr","given":"Sandy","non-dropping-particle":"","parse-names":false,"suffix":""},{"dropping-particle":"","family":"O'Hagan","given":"Anne Marie","non-dropping-particle":"","parse-names":false,"suffix":""},{"dropping-particle":"","family":"Reilly","given":"Kieran","non-dropping-particle":"","parse-names":false,"suffix":""},{"dropping-particle":"","family":"Ricci","given":"Pierpaolo","non-dropping-particle":"","parse-names":false,"suffix":""},{"dropping-particle":"","family":"Sheng","given":"Wanan","non-dropping-particle":"","parse-names":false,"suffix":""},{"dropping-particle":"","family":"Stallard","given":"Tim","non-dropping-particle":"","parse-names":false,"suffix":""}],"container-title":"Renewable and Sustainable Energy Reviews","id":"ITEM-1","issued":{"date-parts":[["2015"]]},"page":"850-878","publisher":"Elsevier","title":"Economic and socio-economic assessment methods for ocean renewable energy: Public and private perspectives","type":"article-journal","volume":"45"},"uris":["http://www.mendeley.com/documents/?uuid=39a89efa-652d-4e83-bccb-51f611f5144e"]},{"id":"ITEM-2","itemData":{"DOI":"10.3390/pr10020184","ISSN":"22279717","abstract":"The financial evaluation of renewable energy sources (RES) projects is well explored in the literature, but many different methods have been followed by different authors. Then, it is important to understand if and how these methods have been changing and what factors may have driven new approaches. Therefore, this article aims to explore the publications on the financial evaluation of RES projects from 2011 to 2020 and to present a critical analysis of the reviewed literature. The methods for evaluating RES projects were grouped into four categories: (i) traditional metrics based on net present value, internal rate of return, and payback period; (ii) levelized cost of electricity; (iii) return on investment approach; and (iv) real options analysis. A quantitative analysis was carried out considering aspects related to the relevance of the authors, productivity by country, and the most relevant journals for each of these groups. Then, a qualitative analysis of the main characteristics of the five most cited articles in each group was conducted. The results show that the more traditional methods are still widely used for the financial evaluation of RES projects. However, approaches based on the levelized cost and real options have been growing in importance to tackle the complex features of financial evaluation and comparison of RES projects.","author":[{"dropping-particle":"","family":"Delapedra-Silva","given":"Vanderson","non-dropping-particle":"","parse-names":false,"suffix":""},{"dropping-particle":"","family":"Ferreira","given":"Paula","non-dropping-particle":"","parse-names":false,"suffix":""},{"dropping-particle":"","family":"Cunha","given":"Jorge","non-dropping-particle":"","parse-names":false,"suffix":""},{"dropping-particle":"","family":"Kimura","given":"Herbert","non-dropping-particle":"","parse-names":false,"suffix":""}],"container-title":"Processes","id":"ITEM-2","issue":"2","issued":{"date-parts":[["2022"]]},"title":"Methods for Financial Assessment of Renewable Energy Projects: A Review","type":"article-journal","volume":"10"},"uris":["http://www.mendeley.com/documents/?uuid=5c97fdd7-6e8b-47f5-be71-fbac2fba7c0b"]}],"mendeley":{"formattedCitation":"(15,37)","plainTextFormattedCitation":"(15,37)","previouslyFormattedCitation":"(14,36)"},"properties":{"noteIndex":0},"schema":"https://github.com/citation-style-language/schema/raw/master/csl-citation.json"}</w:instrText>
      </w:r>
      <w:r w:rsidR="00255B5F" w:rsidRPr="009342F5">
        <w:rPr>
          <w:rFonts w:ascii="Times New Roman" w:hAnsi="Times New Roman" w:cs="Times New Roman"/>
          <w:sz w:val="24"/>
          <w:szCs w:val="24"/>
          <w:shd w:val="clear" w:color="auto" w:fill="FFFFFF"/>
        </w:rPr>
        <w:fldChar w:fldCharType="separate"/>
      </w:r>
      <w:r w:rsidR="000E6908" w:rsidRPr="000E6908">
        <w:rPr>
          <w:rFonts w:ascii="Times New Roman" w:hAnsi="Times New Roman" w:cs="Times New Roman"/>
          <w:noProof/>
          <w:sz w:val="24"/>
          <w:szCs w:val="24"/>
          <w:shd w:val="clear" w:color="auto" w:fill="FFFFFF"/>
          <w:lang w:val="pt-PT"/>
        </w:rPr>
        <w:t>(15,37)</w:t>
      </w:r>
      <w:r w:rsidR="00255B5F" w:rsidRPr="009342F5">
        <w:rPr>
          <w:rFonts w:ascii="Times New Roman" w:hAnsi="Times New Roman" w:cs="Times New Roman"/>
          <w:sz w:val="24"/>
          <w:szCs w:val="24"/>
          <w:shd w:val="clear" w:color="auto" w:fill="FFFFFF"/>
        </w:rPr>
        <w:fldChar w:fldCharType="end"/>
      </w:r>
      <w:r w:rsidR="00255B5F" w:rsidRPr="005309B0">
        <w:rPr>
          <w:rFonts w:ascii="Times New Roman" w:hAnsi="Times New Roman" w:cs="Times New Roman"/>
          <w:sz w:val="24"/>
          <w:szCs w:val="24"/>
          <w:shd w:val="clear" w:color="auto" w:fill="FFFFFF"/>
          <w:lang w:val="pt-PT"/>
        </w:rPr>
        <w:t>.</w:t>
      </w:r>
    </w:p>
    <w:p w14:paraId="288F9FEE" w14:textId="064C26CD" w:rsidR="00166FAC" w:rsidRPr="00AB0CA9" w:rsidRDefault="005309B0" w:rsidP="00691500">
      <w:pPr>
        <w:spacing w:after="0" w:line="360" w:lineRule="auto"/>
        <w:ind w:left="1134" w:firstLine="709"/>
        <w:jc w:val="both"/>
        <w:rPr>
          <w:rFonts w:ascii="Times New Roman" w:hAnsi="Times New Roman" w:cs="Times New Roman"/>
          <w:sz w:val="24"/>
          <w:szCs w:val="24"/>
          <w:lang w:val="pt-PT"/>
        </w:rPr>
      </w:pPr>
      <w:r w:rsidRPr="005309B0">
        <w:rPr>
          <w:rFonts w:ascii="Times New Roman" w:hAnsi="Times New Roman" w:cs="Times New Roman"/>
          <w:sz w:val="24"/>
          <w:szCs w:val="24"/>
          <w:lang w:val="pt-PT"/>
        </w:rPr>
        <w:t xml:space="preserve">Apesar de sua popularidade atual, nem o </w:t>
      </w:r>
      <w:r w:rsidR="00E66EBF">
        <w:rPr>
          <w:rFonts w:ascii="Times New Roman" w:hAnsi="Times New Roman" w:cs="Times New Roman"/>
          <w:sz w:val="24"/>
          <w:szCs w:val="24"/>
          <w:lang w:val="pt-PT"/>
        </w:rPr>
        <w:t>VPL</w:t>
      </w:r>
      <w:r w:rsidRPr="005309B0">
        <w:rPr>
          <w:rFonts w:ascii="Times New Roman" w:hAnsi="Times New Roman" w:cs="Times New Roman"/>
          <w:sz w:val="24"/>
          <w:szCs w:val="24"/>
          <w:lang w:val="pt-PT"/>
        </w:rPr>
        <w:t xml:space="preserve"> nem </w:t>
      </w:r>
      <w:r w:rsidR="00E66EBF">
        <w:rPr>
          <w:rFonts w:ascii="Times New Roman" w:hAnsi="Times New Roman" w:cs="Times New Roman"/>
          <w:sz w:val="24"/>
          <w:szCs w:val="24"/>
          <w:lang w:val="pt-PT"/>
        </w:rPr>
        <w:t>a</w:t>
      </w:r>
      <w:r w:rsidRPr="005309B0">
        <w:rPr>
          <w:rFonts w:ascii="Times New Roman" w:hAnsi="Times New Roman" w:cs="Times New Roman"/>
          <w:sz w:val="24"/>
          <w:szCs w:val="24"/>
          <w:lang w:val="pt-PT"/>
        </w:rPr>
        <w:t xml:space="preserve"> </w:t>
      </w:r>
      <w:r w:rsidR="00E66EBF">
        <w:rPr>
          <w:rFonts w:ascii="Times New Roman" w:hAnsi="Times New Roman" w:cs="Times New Roman"/>
          <w:sz w:val="24"/>
          <w:szCs w:val="24"/>
          <w:lang w:val="pt-PT"/>
        </w:rPr>
        <w:t>T</w:t>
      </w:r>
      <w:r w:rsidRPr="005309B0">
        <w:rPr>
          <w:rFonts w:ascii="Times New Roman" w:hAnsi="Times New Roman" w:cs="Times New Roman"/>
          <w:sz w:val="24"/>
          <w:szCs w:val="24"/>
          <w:lang w:val="pt-PT"/>
        </w:rPr>
        <w:t xml:space="preserve">IR foram projetados para lidar efetivamente com a grande maioria dos problemas de investimento, os fluxos de caixa periódicos gerados entre o momento da compra e venda </w:t>
      </w:r>
      <w:r w:rsidR="00166FAC" w:rsidRPr="009342F5">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{"citationItems":[{"id":"ITEM-1","itemData":{"DOI":"10.1016/j.bushor.2008.02.005","ISSN":"00076813","abstract":"Over the past 60 years Net Present Value (NPV) and the Internal Rate of Return (IRR) have emerged from obscurity to become the overwhelming choices for the quantitative measurement of investment attractiveness in modern corporations. Despite their current popularity, neither NPV nor IRR was designed to deal effectively with the vast majority of investment problems, meaning those where periodic free cash flows are generated between the time of asset purchase and the time of sale. NPV assumes that periodic cash flows can and will be reinvested at the NPV discount rate, either at the cost of capital or another risk adjusted discount rate; IRR assumes reinvestment at the IRR. Neither assumption is usually realistic. In addition, when evaluating projects in terms of their financial attractiveness, the two measures may rank projects differently. This becomes important when capital budgets are limited. Finally, a project may have several IRRs if cash flows go from negative to positive more than once. The Modified Internal Rate of Return (MIRR), discovered in the 18th century, does account for these cash flows. This article explains the problems with NPV and IRR, describes how MIRR works, and demonstrates how MIRR deals with weaknesses in NPV and IRR. © 2008 Kelley School of Business, Indiana University.","author":[{"dropping-particle":"","family":"Kierulff","given":"Herbert","non-dropping-particle":"","parse-names":false,"suffix":""}],"container-title":"Business Horizons","id":"ITEM-1","issue":"4","issued":{"date-parts":[["2008"]]},"number-of-pages":"321-329","title":"MIRR: A better measure","type":"report","volume":"51"},"uris":["http://www.mendeley.com/documents/?uuid=9daa5159-0d38-4e5a-8019-343515a5e8f5"]}],"mendeley":{"formattedCitation":"(32)","plainTextFormattedCitation":"(32)","previouslyFormattedCitation":"(31)"},"properties":{"noteIndex":0},"schema":"https://github.com/citation-style-language/schema/raw/master/csl-citation.json"}</w:instrText>
      </w:r>
      <w:r w:rsidR="00166FAC" w:rsidRPr="009342F5">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(32)</w:t>
      </w:r>
      <w:r w:rsidR="00166FAC" w:rsidRPr="009342F5">
        <w:rPr>
          <w:rFonts w:ascii="Times New Roman" w:hAnsi="Times New Roman" w:cs="Times New Roman"/>
          <w:sz w:val="24"/>
          <w:szCs w:val="24"/>
        </w:rPr>
        <w:fldChar w:fldCharType="end"/>
      </w:r>
      <w:r w:rsidR="00166FAC" w:rsidRPr="005309B0">
        <w:rPr>
          <w:rFonts w:ascii="Times New Roman" w:hAnsi="Times New Roman" w:cs="Times New Roman"/>
          <w:sz w:val="24"/>
          <w:szCs w:val="24"/>
          <w:lang w:val="pt-PT"/>
        </w:rPr>
        <w:t xml:space="preserve">. </w:t>
      </w:r>
      <w:r w:rsidRPr="005309B0">
        <w:rPr>
          <w:rFonts w:ascii="Times New Roman" w:hAnsi="Times New Roman" w:cs="Times New Roman"/>
          <w:sz w:val="24"/>
          <w:szCs w:val="24"/>
          <w:lang w:val="pt-PT"/>
        </w:rPr>
        <w:t xml:space="preserve">O VPL assume que os fluxos de caixa periódicos serão reinvestidos ao custo de capital ou outra taxa de desconto ajustada ao risco; Enquanto a TIR assume o próprio reinvestimento. Além disso, as duas medidas avaliam projetos de forma diferente, embora o VPL seja preferível à TIR devido às dificuldades que a TIR apresenta em algumas delas relatadas anteriormente. o VPL e a TIR, permitem estabelecer taxas de reinvestimento intermediárias mais realistas </w:t>
      </w:r>
      <w:r w:rsidR="00166FAC" w:rsidRPr="009342F5">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{"citationItems":[{"id":"ITEM-1","itemData":{"DOI":"10.1016/j.rser.2015.01.068","ISSN":"18790690","abstract":"This paper provides a comprehensive review of the current state of the art of the economics and socio-economics of ocean renewable energy (ORE); the many ways in which the viability and impacts of an ORE project are assessed, and an analysis of the current weaknesses, issues or inappropriateness of the metrics and methodologies used in their definition and presentation. The outcomes of this paper are anticipated to benefit the ORE and wider renewable sector as a whole. The review revealed that, for the most part, the current study of economics and socio-economics of ORE remain separate and discrete areas of research. The economic methods utilised appear to be comprehensive but are limited to project (or private investor) level. The methods identified for socioeconomic assessment fall between traditional, and now routine, environmental assessment approaches and more novel holistic approaches such as ecosystem services and life cycle assessment. The novel section of the paper explored the connectivity between the economics and socio-economics of ORE in relation to project developments and policy/planning. A visualisation method was created of concentric rings intersected by related axis of economic, socio-economic and environment, and enabled the examination of the benefits arising from the connectivity between the two spheres. The concept of sustainable development process and the integration of environmental assessment for ORE was also explored and how it responds to differing stakeholder aspirations and interpretations. The analysis revealed that there was a divergence between public and private economic and socioeconomic assessments for ORE: environmental assessment is primarily a public responsibility but with significant inputs from the private developer involved while economic assessments are conducted primarily by the developer and/or investor at their own behest. However, the two spheres of economic and socio-economic for ORE are highly connected and synergistic and must be examined in a holistic manner.","author":[{"dropping-particle":"","family":"Dalton","given":"Gordon","non-dropping-particle":"","parse-names":false,"suffix":""},{"dropping-particle":"","family":"Allan","given":"Grant","non-dropping-particle":"","parse-names":false,"suffix":""},{"dropping-particle":"","family":"Beaumont","given":"Nicola","non-dropping-particle":"","parse-names":false,"suffix":""},{"dropping-particle":"","family":"Georgakaki","given":"Aliki","non-dropping-particle":"","parse-names":false,"suffix":""},{"dropping-particle":"","family":"Hacking","given":"Nick","non-dropping-particle":"","parse-names":false,"suffix":""},{"dropping-particle":"","family":"Hooper","given":"Tara","non-dropping-particle":"","parse-names":false,"suffix":""},{"dropping-particle":"","family":"Kerr","given":"Sandy","non-dropping-particle":"","parse-names":false,"suffix":""},{"dropping-particle":"","family":"O'Hagan","given":"Anne Marie","non-dropping-particle":"","parse-names":false,"suffix":""},{"dropping-particle":"","family":"Reilly","given":"Kieran","non-dropping-particle":"","parse-names":false,"suffix":""},{"dropping-particle":"","family":"Ricci","given":"Pierpaolo","non-dropping-particle":"","parse-names":false,"suffix":""},{"dropping-particle":"","family":"Sheng","given":"Wanan","non-dropping-particle":"","parse-names":false,"suffix":""},{"dropping-particle":"","family":"Stallard","given":"Tim","non-dropping-particle":"","parse-names":false,"suffix":""}],"container-title":"Renewable and Sustainable Energy Reviews","id":"ITEM-1","issued":{"date-parts":[["2015"]]},"page":"850-878","publisher":"Elsevier","title":"Economic and socio-economic assessment methods for ocean renewable energy: Public and private perspectives","type":"article-journal","volume":"45"},"uris":["http://www.mendeley.com/documents/?uuid=39a89efa-652d-4e83-bccb-51f611f5144e"]}],"mendeley":{"formattedCitation":"(15)","plainTextFormattedCitation":"(15)","previouslyFormattedCitation":"(14)"},"properties":{"noteIndex":0},"schema":"https://github.com/citation-style-language/schema/raw/master/csl-citation.json"}</w:instrText>
      </w:r>
      <w:r w:rsidR="00166FAC" w:rsidRPr="009342F5">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(15)</w:t>
      </w:r>
      <w:r w:rsidR="00166FAC" w:rsidRPr="009342F5">
        <w:rPr>
          <w:rFonts w:ascii="Times New Roman" w:hAnsi="Times New Roman" w:cs="Times New Roman"/>
          <w:sz w:val="24"/>
          <w:szCs w:val="24"/>
        </w:rPr>
        <w:fldChar w:fldCharType="end"/>
      </w:r>
      <w:r w:rsidR="00166FAC" w:rsidRPr="00AB0CA9">
        <w:rPr>
          <w:rFonts w:ascii="Times New Roman" w:hAnsi="Times New Roman" w:cs="Times New Roman"/>
          <w:sz w:val="24"/>
          <w:szCs w:val="24"/>
          <w:lang w:val="pt-PT"/>
        </w:rPr>
        <w:t>.</w:t>
      </w:r>
      <w:r w:rsidR="00166FAC" w:rsidRPr="00AB0CA9" w:rsidDel="0076002F">
        <w:rPr>
          <w:rFonts w:ascii="Times New Roman" w:hAnsi="Times New Roman" w:cs="Times New Roman"/>
          <w:sz w:val="24"/>
          <w:szCs w:val="24"/>
          <w:lang w:val="pt-PT"/>
        </w:rPr>
        <w:t xml:space="preserve"> </w:t>
      </w:r>
    </w:p>
    <w:p w14:paraId="21059233" w14:textId="1A3B8A58" w:rsidR="00E66EBF" w:rsidRDefault="005309B0" w:rsidP="00691500">
      <w:pPr>
        <w:spacing w:after="0" w:line="360" w:lineRule="auto"/>
        <w:ind w:left="1134" w:firstLine="709"/>
        <w:jc w:val="both"/>
        <w:rPr>
          <w:rFonts w:ascii="Times New Roman" w:hAnsi="Times New Roman" w:cs="Times New Roman"/>
          <w:sz w:val="24"/>
          <w:szCs w:val="24"/>
          <w:lang w:val="pt-PT"/>
        </w:rPr>
      </w:pPr>
      <w:r w:rsidRPr="00E66EBF">
        <w:rPr>
          <w:rFonts w:ascii="Times New Roman" w:hAnsi="Times New Roman" w:cs="Times New Roman"/>
          <w:sz w:val="24"/>
          <w:szCs w:val="24"/>
          <w:lang w:val="pt-PT"/>
        </w:rPr>
        <w:t xml:space="preserve">Os tipos de medidas de avaliação convencionais </w:t>
      </w:r>
      <w:r w:rsidR="00C44830" w:rsidRPr="00E66EBF">
        <w:rPr>
          <w:rFonts w:ascii="Times New Roman" w:hAnsi="Times New Roman" w:cs="Times New Roman"/>
          <w:sz w:val="24"/>
          <w:szCs w:val="24"/>
          <w:lang w:val="pt-PT"/>
        </w:rPr>
        <w:t>(</w:t>
      </w:r>
      <w:r w:rsidRPr="00E66EBF">
        <w:rPr>
          <w:rFonts w:ascii="Times New Roman" w:hAnsi="Times New Roman" w:cs="Times New Roman"/>
          <w:sz w:val="24"/>
          <w:szCs w:val="24"/>
          <w:lang w:val="pt-PT"/>
        </w:rPr>
        <w:t>VPL</w:t>
      </w:r>
      <w:r w:rsidR="00C44830" w:rsidRPr="00E66EBF">
        <w:rPr>
          <w:rFonts w:ascii="Times New Roman" w:hAnsi="Times New Roman" w:cs="Times New Roman"/>
          <w:sz w:val="24"/>
          <w:szCs w:val="24"/>
          <w:lang w:val="pt-PT"/>
        </w:rPr>
        <w:t xml:space="preserve">, Payback </w:t>
      </w:r>
      <w:r w:rsidR="00E66EBF">
        <w:rPr>
          <w:rFonts w:ascii="Times New Roman" w:hAnsi="Times New Roman" w:cs="Times New Roman"/>
          <w:sz w:val="24"/>
          <w:szCs w:val="24"/>
          <w:lang w:val="pt-PT"/>
        </w:rPr>
        <w:t>e</w:t>
      </w:r>
      <w:r w:rsidR="00C44830" w:rsidRPr="00E66EBF">
        <w:rPr>
          <w:rFonts w:ascii="Times New Roman" w:hAnsi="Times New Roman" w:cs="Times New Roman"/>
          <w:sz w:val="24"/>
          <w:szCs w:val="24"/>
          <w:lang w:val="pt-PT"/>
        </w:rPr>
        <w:t xml:space="preserve"> </w:t>
      </w:r>
      <w:r w:rsidRPr="00E66EBF">
        <w:rPr>
          <w:rFonts w:ascii="Times New Roman" w:hAnsi="Times New Roman" w:cs="Times New Roman"/>
          <w:sz w:val="24"/>
          <w:szCs w:val="24"/>
          <w:lang w:val="pt-PT"/>
        </w:rPr>
        <w:t>T</w:t>
      </w:r>
      <w:r w:rsidR="00C44830" w:rsidRPr="00E66EBF">
        <w:rPr>
          <w:rFonts w:ascii="Times New Roman" w:hAnsi="Times New Roman" w:cs="Times New Roman"/>
          <w:sz w:val="24"/>
          <w:szCs w:val="24"/>
          <w:lang w:val="pt-PT"/>
        </w:rPr>
        <w:t xml:space="preserve">IR) </w:t>
      </w:r>
      <w:r w:rsidR="00E66EBF" w:rsidRPr="00E66EBF">
        <w:rPr>
          <w:rFonts w:ascii="Times New Roman" w:hAnsi="Times New Roman" w:cs="Times New Roman"/>
          <w:sz w:val="24"/>
          <w:szCs w:val="24"/>
          <w:lang w:val="pt-PT"/>
        </w:rPr>
        <w:t>mencionados acima, principalmente, por</w:t>
      </w:r>
      <w:r w:rsidR="00C44830" w:rsidRPr="00E66EBF">
        <w:rPr>
          <w:rFonts w:ascii="Times New Roman" w:hAnsi="Times New Roman" w:cs="Times New Roman"/>
          <w:sz w:val="24"/>
          <w:szCs w:val="24"/>
          <w:lang w:val="pt-PT"/>
        </w:rPr>
        <w:t xml:space="preserve"> Dranka et al, 2020 (28); Santos, 2014 (20); Delapedra-Silva et al, 2022 (41); Kierulff, 2008 (37), Dalton et al, 2015 (21), </w:t>
      </w:r>
      <w:r w:rsidR="00E66EBF" w:rsidRPr="00E66EBF">
        <w:rPr>
          <w:rFonts w:ascii="Times New Roman" w:hAnsi="Times New Roman" w:cs="Times New Roman"/>
          <w:sz w:val="24"/>
          <w:szCs w:val="24"/>
          <w:lang w:val="pt-PT"/>
        </w:rPr>
        <w:t>embora amplamente utilizados na literatura atual, não são notoriamente suficientes para apoiar decisões de investimento com grande variabilidade por si só, pois não levam em conta a irreversibilidade, incerteza e flexibilidade da gestão de um projeto de investimento. Assim, devem ser aplicadas em conjunto com outras metodologias para trazer maior grau de certeza ao resultado final dos projetos em energia renovável.</w:t>
      </w:r>
    </w:p>
    <w:p w14:paraId="2E10219F" w14:textId="76386DC9" w:rsidR="00255B5F" w:rsidRPr="008379BC" w:rsidRDefault="003D508B" w:rsidP="00691500">
      <w:pPr>
        <w:spacing w:after="0" w:line="360" w:lineRule="auto"/>
        <w:ind w:left="1134" w:firstLine="709"/>
        <w:jc w:val="both"/>
        <w:rPr>
          <w:rFonts w:ascii="Times New Roman" w:hAnsi="Times New Roman" w:cs="Times New Roman"/>
          <w:sz w:val="24"/>
          <w:szCs w:val="24"/>
          <w:shd w:val="clear" w:color="auto" w:fill="FFFFFF"/>
          <w:lang w:val="pt-PT"/>
        </w:rPr>
      </w:pPr>
      <w:r w:rsidRPr="00E66EBF">
        <w:rPr>
          <w:rFonts w:ascii="Times New Roman" w:hAnsi="Times New Roman" w:cs="Times New Roman"/>
          <w:sz w:val="24"/>
          <w:szCs w:val="24"/>
          <w:shd w:val="clear" w:color="auto" w:fill="FFFFFF"/>
          <w:lang w:val="pt-PT"/>
        </w:rPr>
        <w:t xml:space="preserve">Delapedra-Silva et al </w:t>
      </w:r>
      <w:r w:rsidR="00E66EBF" w:rsidRPr="00E66EBF">
        <w:rPr>
          <w:rFonts w:ascii="Times New Roman" w:hAnsi="Times New Roman" w:cs="Times New Roman"/>
          <w:sz w:val="24"/>
          <w:szCs w:val="24"/>
          <w:shd w:val="clear" w:color="auto" w:fill="FFFFFF"/>
          <w:lang w:val="pt-PT"/>
        </w:rPr>
        <w:t xml:space="preserve">indicar o ROA. no entanto, levantam a limitação do instrumento devido à complexidade da análise e difícil interpretação, que ainda é considerada uma metodologia mais complexa. No entanto, o ROA acaba por aprimorar as metodologias mais tradicionais, o NPV, principalmente em termos de incerteza de mercado, pois defendem que o ROA é capaz de considerar risco e </w:t>
      </w:r>
      <w:r w:rsidR="00E66EBF" w:rsidRPr="00E66EBF">
        <w:rPr>
          <w:rFonts w:ascii="Times New Roman" w:hAnsi="Times New Roman" w:cs="Times New Roman"/>
          <w:sz w:val="24"/>
          <w:szCs w:val="24"/>
          <w:shd w:val="clear" w:color="auto" w:fill="FFFFFF"/>
          <w:lang w:val="pt-PT"/>
        </w:rPr>
        <w:lastRenderedPageBreak/>
        <w:t>flexibilidade gerencial; o período de Payback aponta como métrica complementar para o avanço de outros métodos. A mesma conclusão em relação à complexidade do ROA foi destacada por</w:t>
      </w:r>
      <w:r w:rsidR="00255B5F" w:rsidRPr="00E66EBF">
        <w:rPr>
          <w:rFonts w:ascii="Times New Roman" w:hAnsi="Times New Roman" w:cs="Times New Roman"/>
          <w:sz w:val="24"/>
          <w:szCs w:val="24"/>
          <w:shd w:val="clear" w:color="auto" w:fill="FFFFFF"/>
          <w:lang w:val="pt-PT"/>
        </w:rPr>
        <w:t xml:space="preserve"> Fernandes et al </w:t>
      </w:r>
      <w:r w:rsidR="00255B5F" w:rsidRPr="009342F5">
        <w:rPr>
          <w:rFonts w:ascii="Times New Roman" w:hAnsi="Times New Roman" w:cs="Times New Roman"/>
          <w:sz w:val="24"/>
          <w:szCs w:val="24"/>
          <w:shd w:val="clear" w:color="auto" w:fill="FFFFFF"/>
        </w:rPr>
        <w:fldChar w:fldCharType="begin" w:fldLock="1"/>
      </w:r>
      <w:r w:rsidR="000E6908">
        <w:rPr>
          <w:rFonts w:ascii="Times New Roman" w:hAnsi="Times New Roman" w:cs="Times New Roman"/>
          <w:sz w:val="24"/>
          <w:szCs w:val="24"/>
          <w:shd w:val="clear" w:color="auto" w:fill="FFFFFF"/>
          <w:lang w:val="pt-PT"/>
        </w:rPr>
        <w:instrText>ADDIN CSL_CITATION {"citationItems":[{"id":"ITEM-1","itemData":{"author":[{"dropping-particle":"","family":"Fernandes","given":"Bartolomeu","non-dropping-particle":"","parse-names":false,"suffix":""},{"dropping-particle":"","family":"Cunha","given":"Jorge","non-dropping-particle":"","parse-names":false,"suffix":""},{"dropping-particle":"","family":"Ferreira","given":"Paula","non-dropping-particle":"","parse-names":false,"suffix":""}],"container-title":"1st International Conference on Project Economic Evaluation ICOPEV 2011, Guimarães, Portugal","id":"ITEM-1","issued":{"date-parts":[["2011"]]},"number-of-pages":"187-193","title":"Real Options Theory in Comparison To Other Project Evaluation Techniques","type":"report"},"uris":["http://www.mendeley.com/documents/?uuid=14e1f5e8-aa74-4dc3-8fa4-5edc217a61de"]}],"mendeley":{"formattedCitation":"(38)","plainTextFormattedCitation":"(38)","previouslyFormattedCitation":"(37)"},"properties":{"noteIndex":0},"schema":"https://github.com/citation-style-language/schema/raw/master/csl-citation.json"}</w:instrText>
      </w:r>
      <w:r w:rsidR="00255B5F" w:rsidRPr="009342F5">
        <w:rPr>
          <w:rFonts w:ascii="Times New Roman" w:hAnsi="Times New Roman" w:cs="Times New Roman"/>
          <w:sz w:val="24"/>
          <w:szCs w:val="24"/>
          <w:shd w:val="clear" w:color="auto" w:fill="FFFFFF"/>
        </w:rPr>
        <w:fldChar w:fldCharType="separate"/>
      </w:r>
      <w:r w:rsidR="000E6908" w:rsidRPr="000E6908">
        <w:rPr>
          <w:rFonts w:ascii="Times New Roman" w:hAnsi="Times New Roman" w:cs="Times New Roman"/>
          <w:noProof/>
          <w:sz w:val="24"/>
          <w:szCs w:val="24"/>
          <w:shd w:val="clear" w:color="auto" w:fill="FFFFFF"/>
          <w:lang w:val="pt-PT"/>
        </w:rPr>
        <w:t>(38)</w:t>
      </w:r>
      <w:r w:rsidR="00255B5F" w:rsidRPr="009342F5">
        <w:rPr>
          <w:rFonts w:ascii="Times New Roman" w:hAnsi="Times New Roman" w:cs="Times New Roman"/>
          <w:sz w:val="24"/>
          <w:szCs w:val="24"/>
          <w:shd w:val="clear" w:color="auto" w:fill="FFFFFF"/>
        </w:rPr>
        <w:fldChar w:fldCharType="end"/>
      </w:r>
      <w:r w:rsidR="00255B5F" w:rsidRPr="00E66EBF">
        <w:rPr>
          <w:rFonts w:ascii="Times New Roman" w:hAnsi="Times New Roman" w:cs="Times New Roman"/>
          <w:sz w:val="24"/>
          <w:szCs w:val="24"/>
          <w:shd w:val="clear" w:color="auto" w:fill="FFFFFF"/>
          <w:lang w:val="pt-PT"/>
        </w:rPr>
        <w:t xml:space="preserve">. </w:t>
      </w:r>
      <w:r w:rsidR="008379BC" w:rsidRPr="008379BC">
        <w:rPr>
          <w:rFonts w:ascii="Times New Roman" w:hAnsi="Times New Roman" w:cs="Times New Roman"/>
          <w:sz w:val="24"/>
          <w:szCs w:val="24"/>
          <w:shd w:val="clear" w:color="auto" w:fill="FFFFFF"/>
          <w:lang w:val="pt-PT"/>
        </w:rPr>
        <w:t>Os autores apontam que a aplicação da técnica de avaliação por ROA é de difícil implementação, devido à medição da incerteza, para a qual são necessárias simulações mais robustas e com maior conhecimento matemático. Dessa forma, verifica a necessidade de tornar os cálculos do ROA menos complexos e facilitar a interpretação das análises. No entanto, eles também apontam as vantagens de aplicar o ROA às metodologias tradicionais de avaliação de investimentos, como VPL e TIR, ao identificar que os métodos tradicionais de fluxo de caixa descontado falham na avaliação de projetos que contêm risco e incerteza de investimento. Podendo avaliá-las muitas vezes como opções desfavoráveis quando na verdade se adiadas e levando em conta as variações do fluxo de caixa, como mudanças de mercado e percepção dos investidores, posteriormente seriam avaliadas como favoráveis.</w:t>
      </w:r>
    </w:p>
    <w:p w14:paraId="45A445FA" w14:textId="77777777" w:rsidR="008379BC" w:rsidRPr="008379BC" w:rsidRDefault="00255B5F" w:rsidP="00691500">
      <w:pPr>
        <w:spacing w:after="0" w:line="360" w:lineRule="auto"/>
        <w:ind w:left="1134" w:firstLine="709"/>
        <w:jc w:val="both"/>
        <w:rPr>
          <w:rFonts w:ascii="Times New Roman" w:hAnsi="Times New Roman" w:cs="Times New Roman"/>
          <w:sz w:val="24"/>
          <w:szCs w:val="24"/>
          <w:shd w:val="clear" w:color="auto" w:fill="FFFFFF"/>
          <w:lang w:val="pt-PT"/>
        </w:rPr>
      </w:pPr>
      <w:r w:rsidRPr="008379BC">
        <w:rPr>
          <w:rFonts w:ascii="Times New Roman" w:hAnsi="Times New Roman" w:cs="Times New Roman"/>
          <w:sz w:val="24"/>
          <w:szCs w:val="24"/>
          <w:shd w:val="clear" w:color="auto" w:fill="FFFFFF"/>
          <w:lang w:val="pt-PT"/>
        </w:rPr>
        <w:t xml:space="preserve">Ginbo et al (42) </w:t>
      </w:r>
      <w:r w:rsidR="008379BC" w:rsidRPr="008379BC">
        <w:rPr>
          <w:rFonts w:ascii="Times New Roman" w:hAnsi="Times New Roman" w:cs="Times New Roman"/>
          <w:sz w:val="24"/>
          <w:szCs w:val="24"/>
          <w:shd w:val="clear" w:color="auto" w:fill="FFFFFF"/>
          <w:lang w:val="pt-PT"/>
        </w:rPr>
        <w:t xml:space="preserve">discutir o ROA para análise de investimento para adaptação e mitigação das mudanças climáticas, sob a ótica da integração do valor econômico à flexibilidade temporal do investimento e questionar os resultados trazidos pelo método do VPL Tradicional que não leva em consideração conta a flexibilidade gerencial do investimento sob incerteza, cuja análise de opções reais é a mais indicada para obter maior precisão na avaliação. Além disso, eles descobriram que os tomadores de decisão são neutros ao risco, embora maximizem os lucros. No entanto, consideram importante levar em consideração as preferências de risco em modelos de opções reais, pois em outras metodologias esses resultados podem levar a valores errôneos nos investimentos. Eles trouxeram uma abordagem um pouco diferente do que foi visto até agora sobre a análise de opções reais. Eles destacaram a vantagem de usar a metodologia de análise de investimento por meio do ROA sob incerteza nos preços da eletricidade para diferentes tipos de edifícios e residências, comparando as propensões de adotar a energia solar fotovoltaica na rede elétrica ininterrupta nos países em desenvolvimento. A opção de cálculo ideal para a tomada de decisão de investimento no estudo avaliado foi a análise de opções reais (ROA), pois consideram que atrasar as decisões de implantação da energia solar fotovoltaica reduz o risco de perda de oportunidade. Constatou que as </w:t>
      </w:r>
      <w:r w:rsidR="008379BC" w:rsidRPr="008379BC">
        <w:rPr>
          <w:rFonts w:ascii="Times New Roman" w:hAnsi="Times New Roman" w:cs="Times New Roman"/>
          <w:sz w:val="24"/>
          <w:szCs w:val="24"/>
          <w:shd w:val="clear" w:color="auto" w:fill="FFFFFF"/>
          <w:lang w:val="pt-PT"/>
        </w:rPr>
        <w:lastRenderedPageBreak/>
        <w:t>políticas de incentivo promovem investimentos em FER por meio de seu efeito no ROI esperado.</w:t>
      </w:r>
    </w:p>
    <w:p w14:paraId="049CE3D6" w14:textId="2631FC08" w:rsidR="00255B5F" w:rsidRPr="008379BC" w:rsidRDefault="008379BC" w:rsidP="00691500">
      <w:pPr>
        <w:spacing w:after="0" w:line="360" w:lineRule="auto"/>
        <w:ind w:left="1134" w:firstLine="709"/>
        <w:jc w:val="both"/>
        <w:rPr>
          <w:rFonts w:ascii="Times New Roman" w:hAnsi="Times New Roman" w:cs="Times New Roman"/>
          <w:sz w:val="24"/>
          <w:szCs w:val="24"/>
          <w:shd w:val="clear" w:color="auto" w:fill="FFFFFF"/>
          <w:lang w:val="pt-PT"/>
        </w:rPr>
      </w:pPr>
      <w:r w:rsidRPr="008379BC">
        <w:rPr>
          <w:rFonts w:ascii="Times New Roman" w:hAnsi="Times New Roman" w:cs="Times New Roman"/>
          <w:sz w:val="24"/>
          <w:szCs w:val="24"/>
          <w:shd w:val="clear" w:color="auto" w:fill="FFFFFF"/>
          <w:lang w:val="pt-PT"/>
        </w:rPr>
        <w:t>Tan</w:t>
      </w:r>
      <w:r w:rsidR="00255B5F" w:rsidRPr="008379BC">
        <w:rPr>
          <w:rFonts w:ascii="Times New Roman" w:hAnsi="Times New Roman" w:cs="Times New Roman"/>
          <w:sz w:val="24"/>
          <w:szCs w:val="24"/>
          <w:shd w:val="clear" w:color="auto" w:fill="FFFFFF"/>
          <w:lang w:val="pt-PT"/>
        </w:rPr>
        <w:t xml:space="preserve"> et al (2019) </w:t>
      </w:r>
      <w:r w:rsidRPr="008379BC">
        <w:rPr>
          <w:rFonts w:ascii="Times New Roman" w:hAnsi="Times New Roman" w:cs="Times New Roman"/>
          <w:sz w:val="24"/>
          <w:szCs w:val="24"/>
          <w:shd w:val="clear" w:color="auto" w:fill="FFFFFF"/>
          <w:lang w:val="pt-PT"/>
        </w:rPr>
        <w:t>utilizaram seu estudo em um de seus modelos de otimização, o ROI esperado para determinar a melhor alocação de recursos para diferentes projetos de inovação, podendo observar que projetos cuja maturidade tecnológica é menor possuem maiores níveis de incerteza. Por outro lado, para projetos com maior maturidade, a previsão do ROI pode ser mais precisa, demonstrando que geralmente quando os gestores de fundos de investimento são mais avessos ao risco, eles tendem a apoiar menos tecnologias cuja maturidade tecnológica é menor, devido ao alto risco técnico e econômico. Além disso, afirmaram que para ambos os objetivos as estimativas de ROI eram representativas e poderiam retratar as preferências dos tomadores de decisão otimistas e pessimistas, de acordo com o grau de aversão ao risco do gestor. No entanto, os autores perceberam que a literatura apresenta uma limitação no desenvolvimento de modelos de otimização para alocação ótima de recursos financeiros, havendo maior avanço em instrumentos de apoio à decisão para avaliar recursos financeiros e sua alocação no desenvolvimento de tecnologias emergentes com sucesso.</w:t>
      </w:r>
    </w:p>
    <w:p w14:paraId="24131D11" w14:textId="2D10DD32" w:rsidR="00BC1416" w:rsidRPr="008379BC" w:rsidRDefault="008379BC" w:rsidP="00691500">
      <w:pPr>
        <w:spacing w:after="0" w:line="360" w:lineRule="auto"/>
        <w:ind w:left="1134" w:firstLine="709"/>
        <w:jc w:val="both"/>
        <w:rPr>
          <w:rFonts w:ascii="Times New Roman" w:hAnsi="Times New Roman" w:cs="Times New Roman"/>
          <w:sz w:val="24"/>
          <w:szCs w:val="24"/>
          <w:lang w:val="pt-PT"/>
        </w:rPr>
      </w:pPr>
      <w:r w:rsidRPr="008379BC">
        <w:rPr>
          <w:rFonts w:ascii="Times New Roman" w:hAnsi="Times New Roman" w:cs="Times New Roman"/>
          <w:sz w:val="24"/>
          <w:szCs w:val="24"/>
          <w:lang w:val="pt-PT"/>
        </w:rPr>
        <w:t xml:space="preserve">Nota-se que existem vantagens e desvantagens para cada um dos métodos e a escolha do método dependerá da preferência dos interessados, sendo ideal a utilização de mais de um método na avaliação do processo decisório </w:t>
      </w:r>
      <w:r w:rsidR="00D13DC7" w:rsidRPr="0032014E">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{"citationItems":[{"id":"ITEM-1","itemData":{"DOI":"10.1016/j.rser.2015.11.021","ISSN":"18790690","abstract":"One of the problems facing researchers in the application of renewable energy systems is that the evaluation of the sustainability is extremely perplex. Decision making in energy projects requires consideration of technical, economic, environmental and social impacts and is often complicated. This paper presents a review of the current state of the art in decision support methods applied to renewable and sustainable energy throughout the literature in the field of energy planning. The selected papers were classified by their year of publication, decision making technique, energy type, the criteria used, geographic distribution and the application areas.","author":[{"dropping-particle":"","family":"Strantzali","given":"Eleni","non-dropping-particle":"","parse-names":false,"suffix":""},{"dropping-particle":"","family":"Aravossis","given":"Konstantinos","non-dropping-particle":"","parse-names":false,"suffix":""}],"container-title":"Renewable and Sustainable Energy Reviews","id":"ITEM-1","issued":{"date-parts":[["2016"]]},"page":"885-898","publisher":"Elsevier","title":"Decision making in renewable energy investments: A review","type":"article-journal","volume":"55"},"uris":["http://www.mendeley.com/documents/?uuid=2ba21841-e9db-4826-9cf9-af32d650b8d6"]}],"mendeley":{"formattedCitation":"(43)","plainTextFormattedCitation":"(43)","previouslyFormattedCitation":"(42)"},"properties":{"noteIndex":0},"schema":"https://github.com/citation-style-language/schema/raw/master/csl-citation.json"}</w:instrText>
      </w:r>
      <w:r w:rsidR="00D13DC7" w:rsidRPr="0032014E">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(43)</w:t>
      </w:r>
      <w:r w:rsidR="00D13DC7" w:rsidRPr="0032014E">
        <w:rPr>
          <w:rFonts w:ascii="Times New Roman" w:hAnsi="Times New Roman" w:cs="Times New Roman"/>
          <w:sz w:val="24"/>
          <w:szCs w:val="24"/>
        </w:rPr>
        <w:fldChar w:fldCharType="end"/>
      </w:r>
      <w:r w:rsidR="00D13DC7" w:rsidRPr="008379BC">
        <w:rPr>
          <w:rFonts w:ascii="Times New Roman" w:hAnsi="Times New Roman" w:cs="Times New Roman"/>
          <w:sz w:val="24"/>
          <w:szCs w:val="24"/>
          <w:lang w:val="pt-PT"/>
        </w:rPr>
        <w:t>.</w:t>
      </w:r>
    </w:p>
    <w:p w14:paraId="355172D4" w14:textId="6A5B8C48" w:rsidR="00286DD7" w:rsidRPr="008379BC" w:rsidRDefault="008379BC" w:rsidP="00691500">
      <w:pPr>
        <w:spacing w:after="0" w:line="360" w:lineRule="auto"/>
        <w:ind w:left="1134" w:firstLine="709"/>
        <w:jc w:val="both"/>
        <w:rPr>
          <w:rFonts w:ascii="Times New Roman" w:hAnsi="Times New Roman" w:cs="Times New Roman"/>
          <w:sz w:val="24"/>
          <w:szCs w:val="24"/>
          <w:lang w:val="pt-PT"/>
        </w:rPr>
      </w:pPr>
      <w:r w:rsidRPr="008379BC">
        <w:rPr>
          <w:rFonts w:ascii="Times New Roman" w:hAnsi="Times New Roman" w:cs="Times New Roman"/>
          <w:sz w:val="24"/>
          <w:szCs w:val="24"/>
          <w:lang w:val="pt-PT"/>
        </w:rPr>
        <w:t>Por último, pode dizer-se que a escolha da ferramenta mais adequada dependerá de um conjunto de aspetos relacionados com o contexto de tomada de decisão que irão convergir para a escolha que melhor se enquadra, em que objeto de estudo se deve focar</w:t>
      </w:r>
      <w:r w:rsidR="00BC06BC" w:rsidRPr="008379BC">
        <w:rPr>
          <w:rFonts w:ascii="Times New Roman" w:hAnsi="Times New Roman" w:cs="Times New Roman"/>
          <w:sz w:val="24"/>
          <w:szCs w:val="24"/>
          <w:lang w:val="pt-PT"/>
        </w:rPr>
        <w:t xml:space="preserve"> (</w:t>
      </w:r>
      <w:r>
        <w:rPr>
          <w:rFonts w:ascii="Times New Roman" w:hAnsi="Times New Roman" w:cs="Times New Roman"/>
          <w:sz w:val="24"/>
          <w:szCs w:val="24"/>
          <w:lang w:val="pt-PT"/>
        </w:rPr>
        <w:t>por exemplo</w:t>
      </w:r>
      <w:r w:rsidR="00BC06BC" w:rsidRPr="008379BC">
        <w:rPr>
          <w:rFonts w:ascii="Times New Roman" w:hAnsi="Times New Roman" w:cs="Times New Roman"/>
          <w:sz w:val="24"/>
          <w:szCs w:val="24"/>
          <w:lang w:val="pt-PT"/>
        </w:rPr>
        <w:t xml:space="preserve">, </w:t>
      </w:r>
      <w:r w:rsidRPr="008379BC">
        <w:rPr>
          <w:rFonts w:ascii="Times New Roman" w:hAnsi="Times New Roman" w:cs="Times New Roman"/>
          <w:sz w:val="24"/>
          <w:szCs w:val="24"/>
          <w:lang w:val="pt-PT"/>
        </w:rPr>
        <w:t>quais tipos de impactos o tomador de decisão está interessado em absorver). E para os casos em que ferramentas diferentes abrangem efeitos diferentes, pode ser um importante ponto de decisão na escolha da ferramenta</w:t>
      </w:r>
      <w:r w:rsidR="00BC06BC" w:rsidRPr="008379BC">
        <w:rPr>
          <w:rFonts w:ascii="Times New Roman" w:hAnsi="Times New Roman" w:cs="Times New Roman"/>
          <w:sz w:val="24"/>
          <w:szCs w:val="24"/>
          <w:lang w:val="pt-PT"/>
        </w:rPr>
        <w:t xml:space="preserve"> </w:t>
      </w:r>
      <w:r w:rsidR="00BC06BC" w:rsidRPr="0032014E">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{"citationItems":[{"id":"ITEM-1","itemData":{"DOI":"10.1016/j.rser.2015.11.021","ISSN":"18790690","abstract":"One of the problems facing researchers in the application of renewable energy systems is that the evaluation of the sustainability is extremely perplex. Decision making in energy projects requires consideration of technical, economic, environmental and social impacts and is often complicated. This paper presents a review of the current state of the art in decision support methods applied to renewable and sustainable energy throughout the literature in the field of energy planning. The selected papers were classified by their year of publication, decision making technique, energy type, the criteria used, geographic distribution and the application areas.","author":[{"dropping-particle":"","family":"Strantzali","given":"Eleni","non-dropping-particle":"","parse-names":false,"suffix":""},{"dropping-particle":"","family":"Aravossis","given":"Konstantinos","non-dropping-particle":"","parse-names":false,"suffix":""}],"container-title":"Renewable and Sustainable Energy Reviews","id":"ITEM-1","issued":{"date-parts":[["2016"]]},"page":"885-898","publisher":"Elsevier","title":"Decision making in renewable energy investments: A review","type":"article-journal","volume":"55"},"uris":["http://www.mendeley.com/documents/?uuid=2ba21841-e9db-4826-9cf9-af32d650b8d6"]}],"mendeley":{"formattedCitation":"(43)","plainTextFormattedCitation":"(43)","previouslyFormattedCitation":"(42)"},"properties":{"noteIndex":0},"schema":"https://github.com/citation-style-language/schema/raw/master/csl-citation.json"}</w:instrText>
      </w:r>
      <w:r w:rsidR="00BC06BC" w:rsidRPr="0032014E">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(43)</w:t>
      </w:r>
      <w:r w:rsidR="00BC06BC" w:rsidRPr="0032014E">
        <w:rPr>
          <w:rFonts w:ascii="Times New Roman" w:hAnsi="Times New Roman" w:cs="Times New Roman"/>
          <w:sz w:val="24"/>
          <w:szCs w:val="24"/>
        </w:rPr>
        <w:fldChar w:fldCharType="end"/>
      </w:r>
      <w:r w:rsidR="00BC06BC" w:rsidRPr="008379BC">
        <w:rPr>
          <w:rFonts w:ascii="Times New Roman" w:hAnsi="Times New Roman" w:cs="Times New Roman"/>
          <w:sz w:val="24"/>
          <w:szCs w:val="24"/>
          <w:lang w:val="pt-PT"/>
        </w:rPr>
        <w:t>.</w:t>
      </w:r>
    </w:p>
    <w:p w14:paraId="1E7254FB" w14:textId="1ED740B2" w:rsidR="00D53511" w:rsidRPr="008379BC" w:rsidRDefault="008379BC" w:rsidP="00691500">
      <w:pPr>
        <w:spacing w:after="0" w:line="360" w:lineRule="auto"/>
        <w:ind w:left="1134" w:firstLine="709"/>
        <w:jc w:val="both"/>
        <w:rPr>
          <w:rFonts w:ascii="Times New Roman" w:hAnsi="Times New Roman" w:cs="Times New Roman"/>
          <w:sz w:val="24"/>
          <w:szCs w:val="24"/>
          <w:lang w:val="pt-PT"/>
        </w:rPr>
      </w:pPr>
      <w:r w:rsidRPr="008379BC">
        <w:rPr>
          <w:rFonts w:ascii="Times New Roman" w:hAnsi="Times New Roman" w:cs="Times New Roman"/>
          <w:sz w:val="24"/>
          <w:szCs w:val="24"/>
          <w:lang w:val="pt-PT"/>
        </w:rPr>
        <w:t>Além disso, segundo</w:t>
      </w:r>
      <w:r w:rsidR="00D53511" w:rsidRPr="008379BC">
        <w:rPr>
          <w:rFonts w:ascii="Times New Roman" w:hAnsi="Times New Roman" w:cs="Times New Roman"/>
          <w:sz w:val="24"/>
          <w:szCs w:val="24"/>
          <w:lang w:val="pt-PT"/>
        </w:rPr>
        <w:t xml:space="preserve"> Hobbs &amp; Meier</w:t>
      </w:r>
      <w:r w:rsidR="0006237B">
        <w:rPr>
          <w:rFonts w:ascii="Times New Roman" w:hAnsi="Times New Roman" w:cs="Times New Roman"/>
          <w:sz w:val="24"/>
          <w:szCs w:val="24"/>
          <w:lang w:val="pt-PT"/>
        </w:rPr>
        <w:t xml:space="preserve"> (95)</w:t>
      </w:r>
      <w:r w:rsidR="00D53511" w:rsidRPr="008379BC">
        <w:rPr>
          <w:rFonts w:ascii="Times New Roman" w:hAnsi="Times New Roman" w:cs="Times New Roman"/>
          <w:sz w:val="24"/>
          <w:szCs w:val="24"/>
          <w:lang w:val="pt-PT"/>
        </w:rPr>
        <w:t xml:space="preserve">, </w:t>
      </w:r>
      <w:r w:rsidRPr="008379BC">
        <w:rPr>
          <w:rFonts w:ascii="Times New Roman" w:hAnsi="Times New Roman" w:cs="Times New Roman"/>
          <w:sz w:val="24"/>
          <w:szCs w:val="24"/>
          <w:lang w:val="pt-PT"/>
        </w:rPr>
        <w:t>é importante ressaltar que na fase de tomada de decisão, mais de um método deve ser considerado em um processo de tomada de decisão, visto como uma tendência observada na literatura atual.</w:t>
      </w:r>
    </w:p>
    <w:p w14:paraId="20B02A9B" w14:textId="77777777" w:rsidR="00FB027D" w:rsidRPr="008379BC" w:rsidRDefault="00FB027D" w:rsidP="00691500">
      <w:pPr>
        <w:spacing w:after="0" w:line="360" w:lineRule="auto"/>
        <w:ind w:left="1134" w:firstLine="709"/>
        <w:jc w:val="both"/>
        <w:rPr>
          <w:rFonts w:ascii="Times New Roman" w:hAnsi="Times New Roman" w:cs="Times New Roman"/>
          <w:sz w:val="24"/>
          <w:szCs w:val="24"/>
          <w:lang w:val="pt-PT"/>
        </w:rPr>
      </w:pPr>
    </w:p>
    <w:p w14:paraId="0EAF1D3D" w14:textId="301E261A" w:rsidR="00206855" w:rsidRPr="00AB0CA9" w:rsidRDefault="00784A55" w:rsidP="00691500">
      <w:pPr>
        <w:pStyle w:val="Ttulo1"/>
        <w:numPr>
          <w:ilvl w:val="0"/>
          <w:numId w:val="17"/>
        </w:numPr>
        <w:spacing w:before="0" w:line="360" w:lineRule="auto"/>
        <w:ind w:left="1134" w:firstLine="709"/>
        <w:jc w:val="both"/>
        <w:rPr>
          <w:rFonts w:ascii="Times New Roman" w:hAnsi="Times New Roman"/>
          <w:color w:val="auto"/>
          <w:lang w:val="pt-PT"/>
        </w:rPr>
      </w:pPr>
      <w:r w:rsidRPr="00AB0CA9">
        <w:rPr>
          <w:rFonts w:ascii="Times New Roman" w:hAnsi="Times New Roman"/>
          <w:color w:val="auto"/>
          <w:lang w:val="pt-PT"/>
        </w:rPr>
        <w:lastRenderedPageBreak/>
        <w:t>Con</w:t>
      </w:r>
      <w:r w:rsidR="00D25093">
        <w:rPr>
          <w:rFonts w:ascii="Times New Roman" w:hAnsi="Times New Roman"/>
          <w:color w:val="auto"/>
          <w:lang w:val="pt-PT"/>
        </w:rPr>
        <w:t>siderações Finais</w:t>
      </w:r>
    </w:p>
    <w:p w14:paraId="300E3EB2" w14:textId="2D87FF78" w:rsidR="00481DF7" w:rsidRPr="00AB0CA9" w:rsidRDefault="00481DF7" w:rsidP="00691500">
      <w:pPr>
        <w:spacing w:after="0" w:line="360" w:lineRule="auto"/>
        <w:ind w:left="1134" w:firstLine="709"/>
        <w:jc w:val="both"/>
        <w:rPr>
          <w:lang w:val="pt-PT"/>
        </w:rPr>
      </w:pPr>
    </w:p>
    <w:p w14:paraId="698D1412" w14:textId="7408798B" w:rsidR="006865C9" w:rsidRPr="006865C9" w:rsidRDefault="006865C9" w:rsidP="00691500">
      <w:pPr>
        <w:spacing w:after="0" w:line="360" w:lineRule="auto"/>
        <w:ind w:left="1134" w:firstLine="709"/>
        <w:jc w:val="both"/>
        <w:rPr>
          <w:rFonts w:ascii="Times New Roman" w:hAnsi="Times New Roman" w:cs="Times New Roman"/>
          <w:sz w:val="24"/>
          <w:szCs w:val="24"/>
          <w:lang w:val="pt-PT"/>
        </w:rPr>
      </w:pPr>
      <w:r w:rsidRPr="006865C9">
        <w:rPr>
          <w:rFonts w:ascii="Times New Roman" w:hAnsi="Times New Roman" w:cs="Times New Roman"/>
          <w:sz w:val="24"/>
          <w:szCs w:val="24"/>
          <w:lang w:val="pt-PT"/>
        </w:rPr>
        <w:t>Este trabalho teve o objetivo principal alcançado ao revisar as metodologias mais utilizadas para auxiliar a tomada de decisão sobre novos investimentos</w:t>
      </w:r>
      <w:r w:rsidR="006D778A">
        <w:rPr>
          <w:rFonts w:ascii="Times New Roman" w:hAnsi="Times New Roman" w:cs="Times New Roman"/>
          <w:sz w:val="24"/>
          <w:szCs w:val="24"/>
          <w:lang w:val="pt-PT"/>
        </w:rPr>
        <w:t>.</w:t>
      </w:r>
      <w:r w:rsidRPr="006865C9">
        <w:rPr>
          <w:rFonts w:ascii="Times New Roman" w:hAnsi="Times New Roman" w:cs="Times New Roman"/>
          <w:sz w:val="24"/>
          <w:szCs w:val="24"/>
          <w:lang w:val="pt-PT"/>
        </w:rPr>
        <w:t xml:space="preserve"> A revisão </w:t>
      </w:r>
      <w:r w:rsidR="00EC42B3">
        <w:rPr>
          <w:rFonts w:ascii="Times New Roman" w:hAnsi="Times New Roman" w:cs="Times New Roman"/>
          <w:sz w:val="24"/>
          <w:szCs w:val="24"/>
          <w:lang w:val="pt-PT"/>
        </w:rPr>
        <w:t>também abordou</w:t>
      </w:r>
      <w:r w:rsidRPr="006865C9">
        <w:rPr>
          <w:rFonts w:ascii="Times New Roman" w:hAnsi="Times New Roman" w:cs="Times New Roman"/>
          <w:sz w:val="24"/>
          <w:szCs w:val="24"/>
          <w:lang w:val="pt-PT"/>
        </w:rPr>
        <w:t xml:space="preserve"> as vantagens e desvantagens d</w:t>
      </w:r>
      <w:r w:rsidR="006D778A">
        <w:rPr>
          <w:rFonts w:ascii="Times New Roman" w:hAnsi="Times New Roman" w:cs="Times New Roman"/>
          <w:sz w:val="24"/>
          <w:szCs w:val="24"/>
          <w:lang w:val="pt-PT"/>
        </w:rPr>
        <w:t xml:space="preserve">os </w:t>
      </w:r>
      <w:r w:rsidRPr="006865C9">
        <w:rPr>
          <w:rFonts w:ascii="Times New Roman" w:hAnsi="Times New Roman" w:cs="Times New Roman"/>
          <w:sz w:val="24"/>
          <w:szCs w:val="24"/>
          <w:lang w:val="pt-PT"/>
        </w:rPr>
        <w:t xml:space="preserve"> métodos de análise de investimentos</w:t>
      </w:r>
      <w:r w:rsidR="006D778A">
        <w:rPr>
          <w:rFonts w:ascii="Times New Roman" w:hAnsi="Times New Roman" w:cs="Times New Roman"/>
          <w:sz w:val="24"/>
          <w:szCs w:val="24"/>
          <w:lang w:val="pt-PT"/>
        </w:rPr>
        <w:t xml:space="preserve"> </w:t>
      </w:r>
      <w:r w:rsidR="00EC42B3">
        <w:rPr>
          <w:rFonts w:ascii="Times New Roman" w:hAnsi="Times New Roman" w:cs="Times New Roman"/>
          <w:sz w:val="24"/>
          <w:szCs w:val="24"/>
          <w:lang w:val="pt-PT"/>
        </w:rPr>
        <w:t>encontrados em</w:t>
      </w:r>
      <w:r w:rsidRPr="006865C9">
        <w:rPr>
          <w:rFonts w:ascii="Times New Roman" w:hAnsi="Times New Roman" w:cs="Times New Roman"/>
          <w:sz w:val="24"/>
          <w:szCs w:val="24"/>
          <w:lang w:val="pt-PT"/>
        </w:rPr>
        <w:t xml:space="preserve"> artigos acadêmicos e documentos de instituições oficiais. Trouxe uma revisão ampla, porém não exaustiva, agregando a literatura atual baseada em metodologias de avaliação aplicadas à análise de investimentos em projetos.</w:t>
      </w:r>
    </w:p>
    <w:p w14:paraId="57DA8464" w14:textId="6649F347" w:rsidR="00DF4707" w:rsidRPr="00AB0CA9" w:rsidRDefault="006865C9" w:rsidP="00691500">
      <w:pPr>
        <w:spacing w:after="0" w:line="360" w:lineRule="auto"/>
        <w:ind w:left="1134" w:firstLine="709"/>
        <w:jc w:val="both"/>
        <w:rPr>
          <w:rFonts w:ascii="Times New Roman" w:hAnsi="Times New Roman" w:cs="Times New Roman"/>
          <w:sz w:val="24"/>
          <w:szCs w:val="24"/>
          <w:lang w:val="pt-PT"/>
        </w:rPr>
      </w:pPr>
      <w:r w:rsidRPr="006865C9">
        <w:rPr>
          <w:rFonts w:ascii="Times New Roman" w:hAnsi="Times New Roman" w:cs="Times New Roman"/>
          <w:sz w:val="24"/>
          <w:szCs w:val="24"/>
          <w:lang w:val="pt-PT"/>
        </w:rPr>
        <w:t>Assim, para garantir a avaliação do retorno do investimento, uma ou mais análises financeiras devem ser utilizadas, mas deve-se considerar também outras avaliações cujas ferramentas dão maior enfoque socioambiental e tecnológico. O Valor Presente Líquido, por exemplo, traz a</w:t>
      </w:r>
      <w:r w:rsidR="00EC42B3">
        <w:rPr>
          <w:rFonts w:ascii="Times New Roman" w:hAnsi="Times New Roman" w:cs="Times New Roman"/>
          <w:sz w:val="24"/>
          <w:szCs w:val="24"/>
          <w:lang w:val="pt-PT"/>
        </w:rPr>
        <w:t>o</w:t>
      </w:r>
      <w:r w:rsidRPr="006865C9">
        <w:rPr>
          <w:rFonts w:ascii="Times New Roman" w:hAnsi="Times New Roman" w:cs="Times New Roman"/>
          <w:sz w:val="24"/>
          <w:szCs w:val="24"/>
          <w:lang w:val="pt-PT"/>
        </w:rPr>
        <w:t xml:space="preserve"> valor presente a diferença entre entradas e saídas de caixa durante a vida útil do projeto. O ROI é uma métrica pouco utilizada na maioria das avaliações, mede a relação entre o valor presente dos fluxos de caixa e os investimentos do projeto. A Taxa Interna de Retorno representa a taxa de retorno que torna o VPL nulo e o Payback mostra o tempo necessário para recuperar os custos do investimento. Modelos como </w:t>
      </w:r>
      <w:r w:rsidR="00EC42B3">
        <w:rPr>
          <w:rFonts w:ascii="Times New Roman" w:hAnsi="Times New Roman" w:cs="Times New Roman"/>
          <w:sz w:val="24"/>
          <w:szCs w:val="24"/>
          <w:lang w:val="pt-PT"/>
        </w:rPr>
        <w:t>VPL</w:t>
      </w:r>
      <w:r w:rsidRPr="006865C9">
        <w:rPr>
          <w:rFonts w:ascii="Times New Roman" w:hAnsi="Times New Roman" w:cs="Times New Roman"/>
          <w:sz w:val="24"/>
          <w:szCs w:val="24"/>
          <w:lang w:val="pt-PT"/>
        </w:rPr>
        <w:t xml:space="preserve">, </w:t>
      </w:r>
      <w:r w:rsidR="00EC42B3">
        <w:rPr>
          <w:rFonts w:ascii="Times New Roman" w:hAnsi="Times New Roman" w:cs="Times New Roman"/>
          <w:sz w:val="24"/>
          <w:szCs w:val="24"/>
          <w:lang w:val="pt-PT"/>
        </w:rPr>
        <w:t>T</w:t>
      </w:r>
      <w:r w:rsidRPr="006865C9">
        <w:rPr>
          <w:rFonts w:ascii="Times New Roman" w:hAnsi="Times New Roman" w:cs="Times New Roman"/>
          <w:sz w:val="24"/>
          <w:szCs w:val="24"/>
          <w:lang w:val="pt-PT"/>
        </w:rPr>
        <w:t xml:space="preserve">IR e Payback, embora amplamente aplicados para análise de investimentos, não consideram, por exemplo, aspectos de incerteza, irreversibilidade e flexibilidade que o ROA possui, principalmente em termos do valor da flexibilidade, essencial para postergar uma decisão de investimento, além do valor VPL tradicional, por exemplo. Entretanto, o ROA, pela complexidade da análise e difícil interpretação, ainda é considerado uma metodologia complexa. </w:t>
      </w:r>
      <w:r w:rsidR="001B74FD">
        <w:rPr>
          <w:rFonts w:ascii="Times New Roman" w:hAnsi="Times New Roman" w:cs="Times New Roman"/>
          <w:sz w:val="24"/>
          <w:szCs w:val="24"/>
          <w:lang w:val="pt-PT"/>
        </w:rPr>
        <w:t>O</w:t>
      </w:r>
      <w:r w:rsidRPr="006865C9">
        <w:rPr>
          <w:rFonts w:ascii="Times New Roman" w:hAnsi="Times New Roman" w:cs="Times New Roman"/>
          <w:sz w:val="24"/>
          <w:szCs w:val="24"/>
          <w:lang w:val="pt-PT"/>
        </w:rPr>
        <w:t xml:space="preserve"> Valor Presente Líquido (VPL) e a Taxa Interna de Retorno (TIR) também não lev</w:t>
      </w:r>
      <w:r w:rsidR="001B74FD">
        <w:rPr>
          <w:rFonts w:ascii="Times New Roman" w:hAnsi="Times New Roman" w:cs="Times New Roman"/>
          <w:sz w:val="24"/>
          <w:szCs w:val="24"/>
          <w:lang w:val="pt-PT"/>
        </w:rPr>
        <w:t>a</w:t>
      </w:r>
      <w:r w:rsidRPr="006865C9">
        <w:rPr>
          <w:rFonts w:ascii="Times New Roman" w:hAnsi="Times New Roman" w:cs="Times New Roman"/>
          <w:sz w:val="24"/>
          <w:szCs w:val="24"/>
          <w:lang w:val="pt-PT"/>
        </w:rPr>
        <w:t>m em consideração a variabilidade, as incertezas</w:t>
      </w:r>
      <w:r w:rsidR="001B74FD">
        <w:rPr>
          <w:rFonts w:ascii="Times New Roman" w:hAnsi="Times New Roman" w:cs="Times New Roman"/>
          <w:sz w:val="24"/>
          <w:szCs w:val="24"/>
          <w:lang w:val="pt-PT"/>
        </w:rPr>
        <w:t xml:space="preserve">. </w:t>
      </w:r>
      <w:r w:rsidRPr="006865C9">
        <w:rPr>
          <w:rFonts w:ascii="Times New Roman" w:hAnsi="Times New Roman" w:cs="Times New Roman"/>
          <w:sz w:val="24"/>
          <w:szCs w:val="24"/>
          <w:lang w:val="pt-PT"/>
        </w:rPr>
        <w:t xml:space="preserve">Ainda, para VPL e TIR, para cada ano de vida útil da instalação, por exemplo, os retornos líquidos anuais (custos anuais - receitas anuais) são descontados a valor presente. O valor do sistema pode variar de acordo com a geografia e o horizonte de tempo. </w:t>
      </w:r>
    </w:p>
    <w:p w14:paraId="491DEF4A" w14:textId="7BC81FE2" w:rsidR="00FE450F" w:rsidRPr="006865C9" w:rsidRDefault="006865C9" w:rsidP="00691500">
      <w:pPr>
        <w:spacing w:after="0" w:line="360" w:lineRule="auto"/>
        <w:ind w:left="1134" w:firstLine="709"/>
        <w:jc w:val="both"/>
        <w:rPr>
          <w:rFonts w:ascii="Times New Roman" w:hAnsi="Times New Roman" w:cs="Times New Roman"/>
          <w:sz w:val="24"/>
          <w:szCs w:val="24"/>
          <w:lang w:val="pt-PT"/>
        </w:rPr>
      </w:pPr>
      <w:r w:rsidRPr="006865C9">
        <w:rPr>
          <w:rFonts w:ascii="Times New Roman" w:hAnsi="Times New Roman" w:cs="Times New Roman"/>
          <w:sz w:val="24"/>
          <w:szCs w:val="24"/>
          <w:lang w:val="pt-PT"/>
        </w:rPr>
        <w:t xml:space="preserve">Para atingir os objetivos deste estudo, adotou-se a pesquisa exploratória, que segundo Gil </w:t>
      </w:r>
      <w:r w:rsidR="005F123D">
        <w:rPr>
          <w:rFonts w:ascii="Times New Roman" w:hAnsi="Times New Roman" w:cs="Times New Roman"/>
          <w:sz w:val="24"/>
          <w:szCs w:val="24"/>
          <w:lang w:val="pt-PT"/>
        </w:rPr>
        <w:fldChar w:fldCharType="begin" w:fldLock="1"/>
      </w:r>
      <w:r w:rsidR="000E6908">
        <w:rPr>
          <w:rFonts w:ascii="Times New Roman" w:hAnsi="Times New Roman" w:cs="Times New Roman"/>
          <w:sz w:val="24"/>
          <w:szCs w:val="24"/>
          <w:lang w:val="pt-PT"/>
        </w:rPr>
        <w:instrText>ADDIN CSL_CITATION {"citationItems":[{"id":"ITEM-1","itemData":{"ISBN":"8522431698","ISSN":"85-224-3169-8","abstract":"Como encaminhar uma pesquisa; Como formular um problema de pesquisa; Como construir hipóteses; Como classificar as pesquisas; Como delinear uma pesquisa bibliográfica; Como delinear uma pesquisa documental; Como delinear uma pesquisa experimental; Como delinear um ensaio clínico; Como delinear um estudo de coorte; Como delinear um estudo caso-controle; Como delinear um levantamento; Como delinear um estudo de caso; Como delinear uma pesquisa etnográfica; Como delinear uma pesquisa fenomenológica; Como delinear uma pesquisa para desenvolver teoria fundamentada (grounded theory); Como delinear uma pesquisa-ação;Como delinear uma pesquisa participante; Como calcular o tempo e o custo do projeto; Como redigir o projeto de pesquisa.","author":[{"dropping-particle":"","family":"Gil","given":"Antonio Carlos","non-dropping-particle":"","parse-names":false,"suffix":""}],"container-title":"Como Elaborar Projetos de Pesquisa","id":"ITEM-1","issued":{"date-parts":[["2002"]]},"number-of-pages":"137-142","title":"Como Elaborar Projetos de Pesquisa","type":"book"},"uris":["http://www.mendeley.com/documents/?uuid=8647fe10-1177-4474-84d5-f9debd4a3a41"]}],"mendeley":{"formattedCitation":"(9)","plainTextFormattedCitation":"(9)","previouslyFormattedCitation":"(9)"},"properties":{"noteIndex":0},"schema":"https://github.com/citation-style-language/schema/raw/master/csl-citation.json"}</w:instrText>
      </w:r>
      <w:r w:rsidR="005F123D">
        <w:rPr>
          <w:rFonts w:ascii="Times New Roman" w:hAnsi="Times New Roman" w:cs="Times New Roman"/>
          <w:sz w:val="24"/>
          <w:szCs w:val="24"/>
          <w:lang w:val="pt-PT"/>
        </w:rPr>
        <w:fldChar w:fldCharType="separate"/>
      </w:r>
      <w:r w:rsidR="000E6908" w:rsidRPr="000E6908">
        <w:rPr>
          <w:rFonts w:ascii="Times New Roman" w:hAnsi="Times New Roman" w:cs="Times New Roman"/>
          <w:noProof/>
          <w:sz w:val="24"/>
          <w:szCs w:val="24"/>
          <w:lang w:val="pt-PT"/>
        </w:rPr>
        <w:t>(9)</w:t>
      </w:r>
      <w:r w:rsidR="005F123D">
        <w:rPr>
          <w:rFonts w:ascii="Times New Roman" w:hAnsi="Times New Roman" w:cs="Times New Roman"/>
          <w:sz w:val="24"/>
          <w:szCs w:val="24"/>
          <w:lang w:val="pt-PT"/>
        </w:rPr>
        <w:fldChar w:fldCharType="end"/>
      </w:r>
      <w:r w:rsidR="002A0DA3" w:rsidRPr="006865C9">
        <w:rPr>
          <w:rFonts w:ascii="Times New Roman" w:hAnsi="Times New Roman" w:cs="Times New Roman"/>
          <w:sz w:val="24"/>
          <w:szCs w:val="24"/>
          <w:lang w:val="pt-PT"/>
        </w:rPr>
        <w:t xml:space="preserve"> </w:t>
      </w:r>
      <w:r w:rsidRPr="006865C9">
        <w:rPr>
          <w:rFonts w:ascii="Times New Roman" w:hAnsi="Times New Roman" w:cs="Times New Roman"/>
          <w:sz w:val="24"/>
          <w:szCs w:val="24"/>
          <w:lang w:val="pt-PT"/>
        </w:rPr>
        <w:t>visa aprimorar ideias e identificar algumas perspectivas para pesquisas futuras. Para apurar os fatos e investigar as informações encontradas, foram realizadas pesquisas bibliográficas</w:t>
      </w:r>
      <w:r w:rsidR="000E6908">
        <w:rPr>
          <w:rFonts w:ascii="Times New Roman" w:hAnsi="Times New Roman" w:cs="Times New Roman"/>
          <w:sz w:val="24"/>
          <w:szCs w:val="24"/>
          <w:lang w:val="pt-PT"/>
        </w:rPr>
        <w:t xml:space="preserve"> </w:t>
      </w:r>
      <w:r w:rsidR="000E6908">
        <w:rPr>
          <w:rFonts w:ascii="Times New Roman" w:hAnsi="Times New Roman" w:cs="Times New Roman"/>
          <w:sz w:val="24"/>
          <w:szCs w:val="24"/>
          <w:lang w:val="pt-PT"/>
        </w:rPr>
        <w:fldChar w:fldCharType="begin" w:fldLock="1"/>
      </w:r>
      <w:r w:rsidR="000E6908">
        <w:rPr>
          <w:rFonts w:ascii="Times New Roman" w:hAnsi="Times New Roman" w:cs="Times New Roman"/>
          <w:sz w:val="24"/>
          <w:szCs w:val="24"/>
          <w:lang w:val="pt-PT"/>
        </w:rPr>
        <w:instrText>ADDIN CSL_CITATION {"citationItems":[{"id":"ITEM-1","itemData":{"ISBN":"8570412096","abstract":".","author":[{"dropping-particle":"","family":"Santos, Campello Bernardes, Cendon Beatriz Valadares","given":"and Kremer Jeannette Marguerite","non-dropping-particle":"","parse-names":false,"suffix":""}],"container-title":"Fontes de informação para …","id":"ITEM-1","issued":{"date-parts":[["2000"]]},"number-of-pages":"128","title":"Fontes de informação para pesquisadores e profissionais.\"","type":"book"},"uris":["http://www.mendeley.com/documents/?uuid=4ec2d330-763a-4e4a-8e93-fdd2fde7da0e"]}],"mendeley":{"formattedCitation":"(10)","plainTextFormattedCitation":"(10)","previouslyFormattedCitation":"(10)"},"properties":{"noteIndex":0},"schema":"https://github.com/citation-style-language/schema/raw/master/csl-citation.json"}</w:instrText>
      </w:r>
      <w:r w:rsidR="000E6908">
        <w:rPr>
          <w:rFonts w:ascii="Times New Roman" w:hAnsi="Times New Roman" w:cs="Times New Roman"/>
          <w:sz w:val="24"/>
          <w:szCs w:val="24"/>
          <w:lang w:val="pt-PT"/>
        </w:rPr>
        <w:fldChar w:fldCharType="separate"/>
      </w:r>
      <w:r w:rsidR="000E6908" w:rsidRPr="000E6908">
        <w:rPr>
          <w:rFonts w:ascii="Times New Roman" w:hAnsi="Times New Roman" w:cs="Times New Roman"/>
          <w:noProof/>
          <w:sz w:val="24"/>
          <w:szCs w:val="24"/>
          <w:lang w:val="pt-PT"/>
        </w:rPr>
        <w:t>(10)</w:t>
      </w:r>
      <w:r w:rsidR="000E6908">
        <w:rPr>
          <w:rFonts w:ascii="Times New Roman" w:hAnsi="Times New Roman" w:cs="Times New Roman"/>
          <w:sz w:val="24"/>
          <w:szCs w:val="24"/>
          <w:lang w:val="pt-PT"/>
        </w:rPr>
        <w:fldChar w:fldCharType="end"/>
      </w:r>
      <w:r w:rsidR="002A0DA3" w:rsidRPr="006865C9">
        <w:rPr>
          <w:rFonts w:ascii="Times New Roman" w:hAnsi="Times New Roman" w:cs="Times New Roman"/>
          <w:sz w:val="24"/>
          <w:szCs w:val="24"/>
          <w:lang w:val="pt-PT"/>
        </w:rPr>
        <w:t xml:space="preserve"> </w:t>
      </w:r>
      <w:r w:rsidRPr="006865C9">
        <w:rPr>
          <w:rFonts w:ascii="Times New Roman" w:hAnsi="Times New Roman" w:cs="Times New Roman"/>
          <w:sz w:val="24"/>
          <w:szCs w:val="24"/>
          <w:lang w:val="pt-PT"/>
        </w:rPr>
        <w:t xml:space="preserve">e documentais qualitativas </w:t>
      </w:r>
      <w:r w:rsidR="000E6908">
        <w:rPr>
          <w:rFonts w:ascii="Times New Roman" w:hAnsi="Times New Roman" w:cs="Times New Roman"/>
          <w:sz w:val="24"/>
          <w:szCs w:val="24"/>
          <w:lang w:val="pt-PT"/>
        </w:rPr>
        <w:fldChar w:fldCharType="begin" w:fldLock="1"/>
      </w:r>
      <w:r w:rsidR="000E6908">
        <w:rPr>
          <w:rFonts w:ascii="Times New Roman" w:hAnsi="Times New Roman" w:cs="Times New Roman"/>
          <w:sz w:val="24"/>
          <w:szCs w:val="24"/>
          <w:lang w:val="pt-PT"/>
        </w:rPr>
        <w:instrText>ADDIN CSL_CITATION {"citationItems":[{"id":"ITEM-1","itemData":{"ISBN":"85224211110","abstract":"RICHARDSON, Roberto Jarry. Pesquisa social: métodos e técnicas. Colaboradores José Augusto de Souza Peres (et AL.). 3. Ed. – reimpr. – São Paulo: Atlas, 1999.","author":[{"dropping-particle":"","family":"Richardson","given":"Roberto Jarry","non-dropping-particle":"","parse-names":false,"suffix":""}],"id":"ITEM-1","issued":{"date-parts":[["1999"]]},"page":"329","title":"Pesquisa social, métodos e técnicas","type":"article"},"uris":["http://www.mendeley.com/documents/?uuid=6309ec46-78db-4b64-a1b8-eb1061b9bf83"]}],"mendeley":{"formattedCitation":"(11)","plainTextFormattedCitation":"(11)","previouslyFormattedCitation":"(43)"},"properties":{"noteIndex":0},"schema":"https://github.com/citation-style-language/schema/raw/master/csl-citation.json"}</w:instrText>
      </w:r>
      <w:r w:rsidR="000E6908">
        <w:rPr>
          <w:rFonts w:ascii="Times New Roman" w:hAnsi="Times New Roman" w:cs="Times New Roman"/>
          <w:sz w:val="24"/>
          <w:szCs w:val="24"/>
          <w:lang w:val="pt-PT"/>
        </w:rPr>
        <w:fldChar w:fldCharType="separate"/>
      </w:r>
      <w:r w:rsidR="000E6908" w:rsidRPr="000E6908">
        <w:rPr>
          <w:rFonts w:ascii="Times New Roman" w:hAnsi="Times New Roman" w:cs="Times New Roman"/>
          <w:noProof/>
          <w:sz w:val="24"/>
          <w:szCs w:val="24"/>
          <w:lang w:val="pt-PT"/>
        </w:rPr>
        <w:t>(11)</w:t>
      </w:r>
      <w:r w:rsidR="000E6908">
        <w:rPr>
          <w:rFonts w:ascii="Times New Roman" w:hAnsi="Times New Roman" w:cs="Times New Roman"/>
          <w:sz w:val="24"/>
          <w:szCs w:val="24"/>
          <w:lang w:val="pt-PT"/>
        </w:rPr>
        <w:fldChar w:fldCharType="end"/>
      </w:r>
      <w:r w:rsidRPr="006865C9">
        <w:rPr>
          <w:rFonts w:ascii="Times New Roman" w:hAnsi="Times New Roman" w:cs="Times New Roman"/>
          <w:sz w:val="24"/>
          <w:szCs w:val="24"/>
          <w:lang w:val="pt-PT"/>
        </w:rPr>
        <w:t xml:space="preserve">. Eles </w:t>
      </w:r>
      <w:r w:rsidRPr="006865C9">
        <w:rPr>
          <w:rFonts w:ascii="Times New Roman" w:hAnsi="Times New Roman" w:cs="Times New Roman"/>
          <w:sz w:val="24"/>
          <w:szCs w:val="24"/>
          <w:lang w:val="pt-PT"/>
        </w:rPr>
        <w:lastRenderedPageBreak/>
        <w:t>foram avaliados com base em artigos publicados no Scopus, Google Scholar, Web of Science e documentos oficiais de instituições, resultando em um total de 21</w:t>
      </w:r>
      <w:r w:rsidR="006D778A">
        <w:rPr>
          <w:rFonts w:ascii="Times New Roman" w:hAnsi="Times New Roman" w:cs="Times New Roman"/>
          <w:sz w:val="24"/>
          <w:szCs w:val="24"/>
          <w:lang w:val="pt-PT"/>
        </w:rPr>
        <w:t>3</w:t>
      </w:r>
      <w:r w:rsidRPr="006865C9">
        <w:rPr>
          <w:rFonts w:ascii="Times New Roman" w:hAnsi="Times New Roman" w:cs="Times New Roman"/>
          <w:sz w:val="24"/>
          <w:szCs w:val="24"/>
          <w:lang w:val="pt-PT"/>
        </w:rPr>
        <w:t xml:space="preserve"> artigos acadêmicos e 6</w:t>
      </w:r>
      <w:r w:rsidR="006D778A">
        <w:rPr>
          <w:rFonts w:ascii="Times New Roman" w:hAnsi="Times New Roman" w:cs="Times New Roman"/>
          <w:sz w:val="24"/>
          <w:szCs w:val="24"/>
          <w:lang w:val="pt-PT"/>
        </w:rPr>
        <w:t>8</w:t>
      </w:r>
      <w:r w:rsidRPr="006865C9">
        <w:rPr>
          <w:rFonts w:ascii="Times New Roman" w:hAnsi="Times New Roman" w:cs="Times New Roman"/>
          <w:sz w:val="24"/>
          <w:szCs w:val="24"/>
          <w:lang w:val="pt-PT"/>
        </w:rPr>
        <w:t xml:space="preserve"> documentos governamentais e oficiais de instituições privadas publicados entre 1979 e 202</w:t>
      </w:r>
      <w:r w:rsidR="006D778A">
        <w:rPr>
          <w:rFonts w:ascii="Times New Roman" w:hAnsi="Times New Roman" w:cs="Times New Roman"/>
          <w:sz w:val="24"/>
          <w:szCs w:val="24"/>
          <w:lang w:val="pt-PT"/>
        </w:rPr>
        <w:t>3</w:t>
      </w:r>
      <w:r>
        <w:rPr>
          <w:rFonts w:ascii="Times New Roman" w:hAnsi="Times New Roman" w:cs="Times New Roman"/>
          <w:sz w:val="24"/>
          <w:szCs w:val="24"/>
          <w:lang w:val="pt-PT"/>
        </w:rPr>
        <w:t>.</w:t>
      </w:r>
    </w:p>
    <w:p w14:paraId="0739AAE7" w14:textId="3990CDF5" w:rsidR="003B00DB" w:rsidRPr="006865C9" w:rsidRDefault="006865C9" w:rsidP="00691500">
      <w:pPr>
        <w:spacing w:after="0" w:line="360" w:lineRule="auto"/>
        <w:ind w:left="1134" w:firstLine="709"/>
        <w:jc w:val="both"/>
        <w:rPr>
          <w:rFonts w:ascii="Times New Roman" w:hAnsi="Times New Roman" w:cs="Times New Roman"/>
          <w:sz w:val="24"/>
          <w:szCs w:val="24"/>
          <w:lang w:val="pt-PT"/>
        </w:rPr>
      </w:pPr>
      <w:r w:rsidRPr="006865C9">
        <w:rPr>
          <w:rFonts w:ascii="Times New Roman" w:hAnsi="Times New Roman" w:cs="Times New Roman"/>
          <w:sz w:val="24"/>
          <w:szCs w:val="24"/>
          <w:lang w:val="pt-PT"/>
        </w:rPr>
        <w:t>A escolha de qual é a ferramenta mais adequada dependerá</w:t>
      </w:r>
      <w:r w:rsidR="006D778A">
        <w:rPr>
          <w:rFonts w:ascii="Times New Roman" w:hAnsi="Times New Roman" w:cs="Times New Roman"/>
          <w:sz w:val="24"/>
          <w:szCs w:val="24"/>
          <w:lang w:val="pt-PT"/>
        </w:rPr>
        <w:t xml:space="preserve"> </w:t>
      </w:r>
      <w:r w:rsidRPr="006865C9">
        <w:rPr>
          <w:rFonts w:ascii="Times New Roman" w:hAnsi="Times New Roman" w:cs="Times New Roman"/>
          <w:sz w:val="24"/>
          <w:szCs w:val="24"/>
          <w:lang w:val="pt-PT"/>
        </w:rPr>
        <w:t xml:space="preserve">de quais tipos de impactos o decisor está interessado em absorver. De facto, depende de um conjunto de aspetos relacionados com o contexto de tomada de decisão que irão convergir para a escolha que melhor se adequa e, para que objeto o estudo deve incidir </w:t>
      </w:r>
      <w:r w:rsidR="0092170A" w:rsidRPr="006865C9">
        <w:rPr>
          <w:rFonts w:ascii="Times New Roman" w:hAnsi="Times New Roman" w:cs="Times New Roman"/>
          <w:sz w:val="24"/>
          <w:szCs w:val="24"/>
          <w:lang w:val="pt-PT"/>
        </w:rPr>
        <w:t xml:space="preserve"> </w:t>
      </w:r>
      <w:r w:rsidR="00FC2615" w:rsidRPr="0032014E">
        <w:rPr>
          <w:rFonts w:ascii="Times New Roman" w:hAnsi="Times New Roman" w:cs="Times New Roman"/>
          <w:sz w:val="24"/>
          <w:szCs w:val="24"/>
        </w:rPr>
        <w:fldChar w:fldCharType="begin" w:fldLock="1"/>
      </w:r>
      <w:r w:rsidR="000E6908">
        <w:rPr>
          <w:rFonts w:ascii="Times New Roman" w:hAnsi="Times New Roman" w:cs="Times New Roman"/>
          <w:sz w:val="24"/>
          <w:szCs w:val="24"/>
          <w:lang w:val="pt-PT"/>
        </w:rPr>
        <w:instrText>ADDIN CSL_CITATION {"citationItems":[{"id":"ITEM-1","itemData":{"DOI":"10.1016/j.jclepro.2004.06.004","ISSN":"09596526","abstract":"A large number of tools for assessing environmental impacts are available. It is of interest to characterise different tools in order to better understand their relationships and the appropriateness of different tools in different situations. The characteristics used here are whether the tools are procedural or analytical, what types of impacts are included, what the object of the study is and whether the studies are descriptive or change-orientated. For each object discussed here, there is a tool focusing on both use of natural resources and environmental impacts that seems to be the most suitable. Because different tools focus on different objects, different tools cannot in general easily replace each other. © 2004 Elsevier Ltd. All rights reserved.","author":[{"dropping-particle":"","family":"Finnveden","given":"Göran","non-dropping-particle":"","parse-names":false,"suffix":""},{"dropping-particle":"","family":"Moberg","given":"Åsa","non-dropping-particle":"","parse-names":false,"suffix":""}],"container-title":"Journal of Cleaner Production","id":"ITEM-1","issue":"12","issued":{"date-parts":[["2005"]]},"number-of-pages":"1165-1173","title":"Environmental systems analysis tools - An overview","type":"report","volume":"13"},"uris":["http://www.mendeley.com/documents/?uuid=a58cab9a-8dc9-4b66-be99-6d8b3189821e"]}],"mendeley":{"formattedCitation":"(44)","plainTextFormattedCitation":"(44)","previouslyFormattedCitation":"(44)"},"properties":{"noteIndex":0},"schema":"https://github.com/citation-style-language/schema/raw/master/csl-citation.json"}</w:instrText>
      </w:r>
      <w:r w:rsidR="00FC2615" w:rsidRPr="0032014E">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lang w:val="pt-PT"/>
        </w:rPr>
        <w:t>(44)</w:t>
      </w:r>
      <w:r w:rsidR="00FC2615" w:rsidRPr="0032014E">
        <w:rPr>
          <w:rFonts w:ascii="Times New Roman" w:hAnsi="Times New Roman" w:cs="Times New Roman"/>
          <w:sz w:val="24"/>
          <w:szCs w:val="24"/>
        </w:rPr>
        <w:fldChar w:fldCharType="end"/>
      </w:r>
      <w:r w:rsidR="0092170A" w:rsidRPr="006865C9">
        <w:rPr>
          <w:rFonts w:ascii="Times New Roman" w:hAnsi="Times New Roman" w:cs="Times New Roman"/>
          <w:sz w:val="24"/>
          <w:szCs w:val="24"/>
          <w:lang w:val="pt-PT"/>
        </w:rPr>
        <w:t xml:space="preserve">. </w:t>
      </w:r>
      <w:r w:rsidRPr="006865C9">
        <w:rPr>
          <w:rFonts w:ascii="Times New Roman" w:hAnsi="Times New Roman"/>
          <w:sz w:val="24"/>
          <w:szCs w:val="24"/>
          <w:lang w:val="pt-PT"/>
        </w:rPr>
        <w:t>Até o prezado momento as pesquisas trabalharam apenas com a perspectiva da racionalidade do investimento com critérios puramente financeiros. Porém cresce a preocupação  de avaliar não só a lucratividade do investimento, mas também realizar uma abordagem mais integrada relacionando impactos econômicos e meio ambiente.</w:t>
      </w:r>
      <w:r>
        <w:rPr>
          <w:rFonts w:ascii="Times New Roman" w:hAnsi="Times New Roman"/>
          <w:sz w:val="28"/>
          <w:szCs w:val="28"/>
          <w:lang w:val="pt-PT"/>
        </w:rPr>
        <w:t xml:space="preserve"> </w:t>
      </w:r>
      <w:r w:rsidR="003B00DB" w:rsidRPr="006865C9">
        <w:rPr>
          <w:rFonts w:ascii="Times New Roman" w:hAnsi="Times New Roman" w:cs="Times New Roman"/>
          <w:sz w:val="24"/>
          <w:szCs w:val="24"/>
          <w:lang w:val="pt-PT"/>
        </w:rPr>
        <w:br w:type="page"/>
      </w:r>
    </w:p>
    <w:sdt>
      <w:sdtPr>
        <w:rPr>
          <w:rFonts w:asciiTheme="minorHAnsi" w:eastAsiaTheme="minorHAnsi" w:hAnsiTheme="minorHAnsi" w:cstheme="minorBidi"/>
          <w:color w:val="auto"/>
          <w:sz w:val="22"/>
          <w:szCs w:val="22"/>
        </w:rPr>
        <w:id w:val="-1809618988"/>
        <w:docPartObj>
          <w:docPartGallery w:val="Bibliographies"/>
          <w:docPartUnique/>
        </w:docPartObj>
      </w:sdtPr>
      <w:sdtEndPr>
        <w:rPr>
          <w:rFonts w:eastAsiaTheme="minorEastAsia"/>
          <w:sz w:val="20"/>
          <w:szCs w:val="20"/>
        </w:rPr>
      </w:sdtEndPr>
      <w:sdtContent>
        <w:p w14:paraId="508DD1F5" w14:textId="3508660B" w:rsidR="00E31752" w:rsidRDefault="00E31752" w:rsidP="00624E11">
          <w:pPr>
            <w:pStyle w:val="Ttulo1"/>
            <w:tabs>
              <w:tab w:val="left" w:pos="1701"/>
            </w:tabs>
            <w:spacing w:before="0" w:line="360" w:lineRule="auto"/>
            <w:ind w:firstLine="709"/>
            <w:jc w:val="both"/>
          </w:pPr>
          <w:r w:rsidRPr="002C33E1">
            <w:rPr>
              <w:rFonts w:ascii="Times New Roman" w:hAnsi="Times New Roman"/>
              <w:color w:val="000000" w:themeColor="text1"/>
            </w:rPr>
            <w:t>Refer</w:t>
          </w:r>
          <w:r w:rsidR="006865C9">
            <w:rPr>
              <w:rFonts w:ascii="Times New Roman" w:hAnsi="Times New Roman"/>
              <w:color w:val="000000" w:themeColor="text1"/>
            </w:rPr>
            <w:t>ê</w:t>
          </w:r>
          <w:r w:rsidR="00455109">
            <w:rPr>
              <w:rFonts w:ascii="Times New Roman" w:hAnsi="Times New Roman"/>
              <w:color w:val="000000" w:themeColor="text1"/>
            </w:rPr>
            <w:t>nc</w:t>
          </w:r>
          <w:r w:rsidR="006865C9">
            <w:rPr>
              <w:rFonts w:ascii="Times New Roman" w:hAnsi="Times New Roman"/>
              <w:color w:val="000000" w:themeColor="text1"/>
            </w:rPr>
            <w:t>ias Bibliográficas</w:t>
          </w:r>
        </w:p>
        <w:sdt>
          <w:sdtPr>
            <w:id w:val="-573587230"/>
            <w:showingPlcHdr/>
            <w:bibliography/>
          </w:sdtPr>
          <w:sdtContent>
            <w:p w14:paraId="6BBC8E1A" w14:textId="6EF1D61B" w:rsidR="00E31752" w:rsidRDefault="00496610" w:rsidP="00624E11">
              <w:pPr>
                <w:spacing w:after="0" w:line="360" w:lineRule="auto"/>
                <w:ind w:firstLine="709"/>
                <w:jc w:val="both"/>
              </w:pPr>
              <w:r>
                <w:t xml:space="preserve">     </w:t>
              </w:r>
            </w:p>
          </w:sdtContent>
        </w:sdt>
      </w:sdtContent>
    </w:sdt>
    <w:p w14:paraId="6CBBBF7A" w14:textId="019AE80E" w:rsidR="000E6908" w:rsidRPr="000E6908" w:rsidRDefault="00373540"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373540">
        <w:rPr>
          <w:rFonts w:ascii="Times New Roman" w:hAnsi="Times New Roman" w:cs="Times New Roman"/>
          <w:sz w:val="24"/>
          <w:szCs w:val="24"/>
        </w:rPr>
        <w:t> </w:t>
      </w:r>
      <w:r w:rsidR="008C7424" w:rsidRPr="00D01C3E">
        <w:rPr>
          <w:rFonts w:ascii="Times New Roman" w:hAnsi="Times New Roman" w:cs="Times New Roman"/>
          <w:sz w:val="24"/>
          <w:szCs w:val="24"/>
        </w:rPr>
        <w:fldChar w:fldCharType="begin" w:fldLock="1"/>
      </w:r>
      <w:r w:rsidR="008C7424" w:rsidRPr="00D01C3E">
        <w:rPr>
          <w:rFonts w:ascii="Times New Roman" w:hAnsi="Times New Roman" w:cs="Times New Roman"/>
          <w:sz w:val="24"/>
          <w:szCs w:val="24"/>
        </w:rPr>
        <w:instrText xml:space="preserve">ADDIN Mendeley Bibliography CSL_BIBLIOGRAPHY </w:instrText>
      </w:r>
      <w:r w:rsidR="008C7424" w:rsidRPr="00D01C3E">
        <w:rPr>
          <w:rFonts w:ascii="Times New Roman" w:hAnsi="Times New Roman" w:cs="Times New Roman"/>
          <w:sz w:val="24"/>
          <w:szCs w:val="24"/>
        </w:rPr>
        <w:fldChar w:fldCharType="separate"/>
      </w:r>
      <w:r w:rsidR="000E6908" w:rsidRPr="000E6908">
        <w:rPr>
          <w:rFonts w:ascii="Times New Roman" w:hAnsi="Times New Roman" w:cs="Times New Roman"/>
          <w:noProof/>
          <w:sz w:val="24"/>
          <w:szCs w:val="24"/>
        </w:rPr>
        <w:t xml:space="preserve">1. </w:t>
      </w:r>
      <w:r w:rsidR="000E6908" w:rsidRPr="000E6908">
        <w:rPr>
          <w:rFonts w:ascii="Times New Roman" w:hAnsi="Times New Roman" w:cs="Times New Roman"/>
          <w:noProof/>
          <w:sz w:val="24"/>
          <w:szCs w:val="24"/>
        </w:rPr>
        <w:tab/>
        <w:t>Tian J, Yu L, Xue R, Zhuang S, Shan Y. Global low-carbon energy transition in the post-COVID-19 era [Internet]. Vol. 307, Applied Energy. Elsevier Ltd; 2022. Available from: https://doi.org/10.1016/j.apenergy.2021.118205</w:t>
      </w:r>
    </w:p>
    <w:p w14:paraId="79AD9B2F"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2. </w:t>
      </w:r>
      <w:r w:rsidRPr="000E6908">
        <w:rPr>
          <w:rFonts w:ascii="Times New Roman" w:hAnsi="Times New Roman" w:cs="Times New Roman"/>
          <w:noProof/>
          <w:sz w:val="24"/>
          <w:szCs w:val="24"/>
        </w:rPr>
        <w:tab/>
        <w:t>IEA IEA. Electricity Market Report [Internet]. Electricity Market Report. 2022. Available from: https://www.iea.org/reports/electricity-market-report-january-2022</w:t>
      </w:r>
    </w:p>
    <w:p w14:paraId="1427619F"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3. </w:t>
      </w:r>
      <w:r w:rsidRPr="000E6908">
        <w:rPr>
          <w:rFonts w:ascii="Times New Roman" w:hAnsi="Times New Roman" w:cs="Times New Roman"/>
          <w:noProof/>
          <w:sz w:val="24"/>
          <w:szCs w:val="24"/>
        </w:rPr>
        <w:tab/>
        <w:t xml:space="preserve">IEA. Electricity Market Report 2023. Electricity Market Report. 2023. </w:t>
      </w:r>
    </w:p>
    <w:p w14:paraId="45D8DADE"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4. </w:t>
      </w:r>
      <w:r w:rsidRPr="000E6908">
        <w:rPr>
          <w:rFonts w:ascii="Times New Roman" w:hAnsi="Times New Roman" w:cs="Times New Roman"/>
          <w:noProof/>
          <w:sz w:val="24"/>
          <w:szCs w:val="24"/>
        </w:rPr>
        <w:tab/>
        <w:t>International Renewable Energy Agency (IRENA). World energy transitions outlook 2023 [Internet]. World Energy Transitions. 2023. Available from: https://irena.org/Digital-Report/World-Energy-Transitions-Outlook-2022%0Ahttps://irena.org/publications/2021/March/World-Energy-Transitions-Outlook</w:t>
      </w:r>
    </w:p>
    <w:p w14:paraId="2B5142C7"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5. </w:t>
      </w:r>
      <w:r w:rsidRPr="000E6908">
        <w:rPr>
          <w:rFonts w:ascii="Times New Roman" w:hAnsi="Times New Roman" w:cs="Times New Roman"/>
          <w:noProof/>
          <w:sz w:val="24"/>
          <w:szCs w:val="24"/>
        </w:rPr>
        <w:tab/>
        <w:t>IMF Blog. Public Sector Must Play Major Role in Catalyzing Private Climate Finance [Internet]. August 18, 2022. 2022 [cited 2023 Jan 24]. Available from: https://www.imf.org/en/Blogs/Articles/2022/08/18/public-sector-must-play-major-role-in-catalyzing-private-climate-finance</w:t>
      </w:r>
    </w:p>
    <w:p w14:paraId="677B94BF"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6. </w:t>
      </w:r>
      <w:r w:rsidRPr="000E6908">
        <w:rPr>
          <w:rFonts w:ascii="Times New Roman" w:hAnsi="Times New Roman" w:cs="Times New Roman"/>
          <w:noProof/>
          <w:sz w:val="24"/>
          <w:szCs w:val="24"/>
        </w:rPr>
        <w:tab/>
        <w:t>Abban AR, Hasan MZ. Revisiting the determinants of renewable energy investment - New evidence from political and government ideology [Internet]. Vol. 151, Energy Policy. Elsevier Ltd; 2021. Available from: https://doi.org/10.1016/j.enpol.2021.112184</w:t>
      </w:r>
    </w:p>
    <w:p w14:paraId="0B065608"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7. </w:t>
      </w:r>
      <w:r w:rsidRPr="000E6908">
        <w:rPr>
          <w:rFonts w:ascii="Times New Roman" w:hAnsi="Times New Roman" w:cs="Times New Roman"/>
          <w:noProof/>
          <w:sz w:val="24"/>
          <w:szCs w:val="24"/>
        </w:rPr>
        <w:tab/>
        <w:t xml:space="preserve">IEA IEA. Renewable Energy Market Update. Renewable Energy Market Update. 2022. </w:t>
      </w:r>
    </w:p>
    <w:p w14:paraId="0D1F20F0"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8. </w:t>
      </w:r>
      <w:r w:rsidRPr="000E6908">
        <w:rPr>
          <w:rFonts w:ascii="Times New Roman" w:hAnsi="Times New Roman" w:cs="Times New Roman"/>
          <w:noProof/>
          <w:sz w:val="24"/>
          <w:szCs w:val="24"/>
        </w:rPr>
        <w:tab/>
        <w:t>European Parliament. Portugal’s National Recovery and Resilience Plan [Internet]. 2022. Available from: https://www.europarl.europa.eu/RegData/etudes/BRIE/2022/729408/EPRS_BRI(2022)729408_EN.pdf</w:t>
      </w:r>
    </w:p>
    <w:p w14:paraId="7E3F5B38" w14:textId="77777777" w:rsidR="000E6908" w:rsidRPr="00056276"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lang w:val="pt-PT"/>
        </w:rPr>
      </w:pPr>
      <w:r w:rsidRPr="00056276">
        <w:rPr>
          <w:rFonts w:ascii="Times New Roman" w:hAnsi="Times New Roman" w:cs="Times New Roman"/>
          <w:noProof/>
          <w:sz w:val="24"/>
          <w:szCs w:val="24"/>
          <w:lang w:val="pt-PT"/>
        </w:rPr>
        <w:t xml:space="preserve">9. </w:t>
      </w:r>
      <w:r w:rsidRPr="00056276">
        <w:rPr>
          <w:rFonts w:ascii="Times New Roman" w:hAnsi="Times New Roman" w:cs="Times New Roman"/>
          <w:noProof/>
          <w:sz w:val="24"/>
          <w:szCs w:val="24"/>
          <w:lang w:val="pt-PT"/>
        </w:rPr>
        <w:tab/>
        <w:t xml:space="preserve">Gil AC. Como Elaborar Projetos de Pesquisa. Como Elaborar Projetos de Pesquisa. 2002. 137–142 p. </w:t>
      </w:r>
    </w:p>
    <w:p w14:paraId="5F9B70D9" w14:textId="77777777" w:rsidR="000E6908" w:rsidRPr="00056276"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lang w:val="pt-PT"/>
        </w:rPr>
      </w:pPr>
      <w:r w:rsidRPr="00056276">
        <w:rPr>
          <w:rFonts w:ascii="Times New Roman" w:hAnsi="Times New Roman" w:cs="Times New Roman"/>
          <w:noProof/>
          <w:sz w:val="24"/>
          <w:szCs w:val="24"/>
          <w:lang w:val="pt-PT"/>
        </w:rPr>
        <w:t xml:space="preserve">10. </w:t>
      </w:r>
      <w:r w:rsidRPr="00056276">
        <w:rPr>
          <w:rFonts w:ascii="Times New Roman" w:hAnsi="Times New Roman" w:cs="Times New Roman"/>
          <w:noProof/>
          <w:sz w:val="24"/>
          <w:szCs w:val="24"/>
          <w:lang w:val="pt-PT"/>
        </w:rPr>
        <w:tab/>
        <w:t>Santos, Campello Bernardes, Cendon Beatriz Valadares  and KJM. Fontes de informação para pesquisadores e profissionais." [Internet]. Fontes de informação para …. 2000. 128 p. Available from: http://files.biblio-2008.webnode.com.br/200000040-76a3b771d5/fontes_de_informacao_para_pesquisadores_e_profissionais_parte_001.pdf#page=18</w:t>
      </w:r>
    </w:p>
    <w:p w14:paraId="69451842"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56276">
        <w:rPr>
          <w:rFonts w:ascii="Times New Roman" w:hAnsi="Times New Roman" w:cs="Times New Roman"/>
          <w:noProof/>
          <w:sz w:val="24"/>
          <w:szCs w:val="24"/>
          <w:lang w:val="pt-PT"/>
        </w:rPr>
        <w:lastRenderedPageBreak/>
        <w:t xml:space="preserve">11. </w:t>
      </w:r>
      <w:r w:rsidRPr="00056276">
        <w:rPr>
          <w:rFonts w:ascii="Times New Roman" w:hAnsi="Times New Roman" w:cs="Times New Roman"/>
          <w:noProof/>
          <w:sz w:val="24"/>
          <w:szCs w:val="24"/>
          <w:lang w:val="pt-PT"/>
        </w:rPr>
        <w:tab/>
        <w:t xml:space="preserve">Richardson RJ. Pesquisa social, métodos e técnicas. </w:t>
      </w:r>
      <w:r w:rsidRPr="000E6908">
        <w:rPr>
          <w:rFonts w:ascii="Times New Roman" w:hAnsi="Times New Roman" w:cs="Times New Roman"/>
          <w:noProof/>
          <w:sz w:val="24"/>
          <w:szCs w:val="24"/>
        </w:rPr>
        <w:t xml:space="preserve">1999. p. 329. </w:t>
      </w:r>
    </w:p>
    <w:p w14:paraId="1AC09D9B"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12. </w:t>
      </w:r>
      <w:r w:rsidRPr="000E6908">
        <w:rPr>
          <w:rFonts w:ascii="Times New Roman" w:hAnsi="Times New Roman" w:cs="Times New Roman"/>
          <w:noProof/>
          <w:sz w:val="24"/>
          <w:szCs w:val="24"/>
        </w:rPr>
        <w:tab/>
        <w:t xml:space="preserve">Cucchiella F, D’Adamo I, Gastaldi M. Financial analysis for investment and policy decisions in the renewable energy sector. Vol. 17, Clean Technologies and Environmental Policy. 2015. </w:t>
      </w:r>
    </w:p>
    <w:p w14:paraId="6A6AFFEC"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13. </w:t>
      </w:r>
      <w:r w:rsidRPr="000E6908">
        <w:rPr>
          <w:rFonts w:ascii="Times New Roman" w:hAnsi="Times New Roman" w:cs="Times New Roman"/>
          <w:noProof/>
          <w:sz w:val="24"/>
          <w:szCs w:val="24"/>
        </w:rPr>
        <w:tab/>
        <w:t>Cucchiella F, D’Adamo I, Gastaldi M. A multi-objective optimization strategy for energy plants in Italy [Internet]. Vol. 443, Science of the Total Environment. Elsevier B.V.; 2013. Available from: http://dx.doi.org/10.1016/j.scitotenv.2012.11.008</w:t>
      </w:r>
    </w:p>
    <w:p w14:paraId="25E8FEEA"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14. </w:t>
      </w:r>
      <w:r w:rsidRPr="000E6908">
        <w:rPr>
          <w:rFonts w:ascii="Times New Roman" w:hAnsi="Times New Roman" w:cs="Times New Roman"/>
          <w:noProof/>
          <w:sz w:val="24"/>
          <w:szCs w:val="24"/>
        </w:rPr>
        <w:tab/>
        <w:t>Santos L, Soares I, Mendes C, Ferreira P. Real Options versus Traditional Methods to assess Renewable Energy Projects. Renew Energy [Internet]. 2014;68:588–94. Available from: http://dx.doi.org/10.1016/j.renene.2014.01.038</w:t>
      </w:r>
    </w:p>
    <w:p w14:paraId="76882C59"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15. </w:t>
      </w:r>
      <w:r w:rsidRPr="000E6908">
        <w:rPr>
          <w:rFonts w:ascii="Times New Roman" w:hAnsi="Times New Roman" w:cs="Times New Roman"/>
          <w:noProof/>
          <w:sz w:val="24"/>
          <w:szCs w:val="24"/>
        </w:rPr>
        <w:tab/>
        <w:t>Dalton G, Allan G, Beaumont N, Georgakaki A, Hacking N, Hooper T, et al. Economic and socio-economic assessment methods for ocean renewable energy: Public and private perspectives. Renew Sustain Energy Rev [Internet]. 2015;45:850–78. Available from: http://dx.doi.org/10.1016/j.rser.2015.01.068</w:t>
      </w:r>
    </w:p>
    <w:p w14:paraId="611A4E43"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16. </w:t>
      </w:r>
      <w:r w:rsidRPr="000E6908">
        <w:rPr>
          <w:rFonts w:ascii="Times New Roman" w:hAnsi="Times New Roman" w:cs="Times New Roman"/>
          <w:noProof/>
          <w:sz w:val="24"/>
          <w:szCs w:val="24"/>
        </w:rPr>
        <w:tab/>
        <w:t xml:space="preserve">Dixit AK, Pindyck RS. A New View of Investment. In: Investment under Uncertainty. 2019. p. 3–25. </w:t>
      </w:r>
    </w:p>
    <w:p w14:paraId="49394AF6" w14:textId="77777777" w:rsidR="000E6908" w:rsidRPr="00056276"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lang w:val="pt-PT"/>
        </w:rPr>
      </w:pPr>
      <w:r w:rsidRPr="00056276">
        <w:rPr>
          <w:rFonts w:ascii="Times New Roman" w:hAnsi="Times New Roman" w:cs="Times New Roman"/>
          <w:noProof/>
          <w:sz w:val="24"/>
          <w:szCs w:val="24"/>
          <w:lang w:val="pt-PT"/>
        </w:rPr>
        <w:t xml:space="preserve">17. </w:t>
      </w:r>
      <w:r w:rsidRPr="00056276">
        <w:rPr>
          <w:rFonts w:ascii="Times New Roman" w:hAnsi="Times New Roman" w:cs="Times New Roman"/>
          <w:noProof/>
          <w:sz w:val="24"/>
          <w:szCs w:val="24"/>
          <w:lang w:val="pt-PT"/>
        </w:rPr>
        <w:tab/>
        <w:t xml:space="preserve">Ross SA, Westerfield RW, Jaffe J, Lamb R. Administração financeira : versão brasileira de corporate finance. 2015. 1196 p. </w:t>
      </w:r>
    </w:p>
    <w:p w14:paraId="35FDAB6A" w14:textId="77777777" w:rsidR="000E6908" w:rsidRPr="00056276"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lang w:val="pt-PT"/>
        </w:rPr>
      </w:pPr>
      <w:r w:rsidRPr="00056276">
        <w:rPr>
          <w:rFonts w:ascii="Times New Roman" w:hAnsi="Times New Roman" w:cs="Times New Roman"/>
          <w:noProof/>
          <w:sz w:val="24"/>
          <w:szCs w:val="24"/>
          <w:lang w:val="pt-PT"/>
        </w:rPr>
        <w:t xml:space="preserve">18. </w:t>
      </w:r>
      <w:r w:rsidRPr="00056276">
        <w:rPr>
          <w:rFonts w:ascii="Times New Roman" w:hAnsi="Times New Roman" w:cs="Times New Roman"/>
          <w:noProof/>
          <w:sz w:val="24"/>
          <w:szCs w:val="24"/>
          <w:lang w:val="pt-PT"/>
        </w:rPr>
        <w:tab/>
        <w:t xml:space="preserve">Bruni AL, Famá R, De J, Siqueira O. Análise Do Risco Na Avaliação De Projetos De Investimento: Uma Aplicação Do Método De Monte Carlo. 1998. </w:t>
      </w:r>
    </w:p>
    <w:p w14:paraId="5FA5D87F"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56276">
        <w:rPr>
          <w:rFonts w:ascii="Times New Roman" w:hAnsi="Times New Roman" w:cs="Times New Roman"/>
          <w:noProof/>
          <w:sz w:val="24"/>
          <w:szCs w:val="24"/>
          <w:lang w:val="pt-PT"/>
        </w:rPr>
        <w:t xml:space="preserve">19. </w:t>
      </w:r>
      <w:r w:rsidRPr="00056276">
        <w:rPr>
          <w:rFonts w:ascii="Times New Roman" w:hAnsi="Times New Roman" w:cs="Times New Roman"/>
          <w:noProof/>
          <w:sz w:val="24"/>
          <w:szCs w:val="24"/>
          <w:lang w:val="pt-PT"/>
        </w:rPr>
        <w:tab/>
        <w:t xml:space="preserve">Ross, Stephen A.;Westerfield, Randolph W.;Jordan BD. Princípios de Administração Financeira. </w:t>
      </w:r>
      <w:r w:rsidRPr="000E6908">
        <w:rPr>
          <w:rFonts w:ascii="Times New Roman" w:hAnsi="Times New Roman" w:cs="Times New Roman"/>
          <w:noProof/>
          <w:sz w:val="24"/>
          <w:szCs w:val="24"/>
        </w:rPr>
        <w:t xml:space="preserve">2a Edition. Atlas; 2002. </w:t>
      </w:r>
    </w:p>
    <w:p w14:paraId="786F7BEA"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20. </w:t>
      </w:r>
      <w:r w:rsidRPr="000E6908">
        <w:rPr>
          <w:rFonts w:ascii="Times New Roman" w:hAnsi="Times New Roman" w:cs="Times New Roman"/>
          <w:noProof/>
          <w:sz w:val="24"/>
          <w:szCs w:val="24"/>
        </w:rPr>
        <w:tab/>
        <w:t xml:space="preserve">Fuller SK, Petersen SR. LCCosting Manual for the Federal Energy Management Program. NIST Handbook 135. 1996. 1–222 p. </w:t>
      </w:r>
    </w:p>
    <w:p w14:paraId="67F1C2E8"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21. </w:t>
      </w:r>
      <w:r w:rsidRPr="000E6908">
        <w:rPr>
          <w:rFonts w:ascii="Times New Roman" w:hAnsi="Times New Roman" w:cs="Times New Roman"/>
          <w:noProof/>
          <w:sz w:val="24"/>
          <w:szCs w:val="24"/>
        </w:rPr>
        <w:tab/>
        <w:t xml:space="preserve">Tsukamoto YOH, Sugimoto J, Yokoyama R, Zhou Y. Economic Evaluation and Scenario Analysis of Wind Generations Based on Environment Factors. Power. 2006. </w:t>
      </w:r>
    </w:p>
    <w:p w14:paraId="40CF24B5"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22. </w:t>
      </w:r>
      <w:r w:rsidRPr="000E6908">
        <w:rPr>
          <w:rFonts w:ascii="Times New Roman" w:hAnsi="Times New Roman" w:cs="Times New Roman"/>
          <w:noProof/>
          <w:sz w:val="24"/>
          <w:szCs w:val="24"/>
        </w:rPr>
        <w:tab/>
        <w:t xml:space="preserve">Haas R, Ajanovic A, Ramsebner J, Perger T, Knápek J, Bleyl JW. Financing the future infrastructure of sustainable energy systems. Vol. 3, Green Finance. 2021. </w:t>
      </w:r>
    </w:p>
    <w:p w14:paraId="65C01934"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23. </w:t>
      </w:r>
      <w:r w:rsidRPr="000E6908">
        <w:rPr>
          <w:rFonts w:ascii="Times New Roman" w:hAnsi="Times New Roman" w:cs="Times New Roman"/>
          <w:noProof/>
          <w:sz w:val="24"/>
          <w:szCs w:val="24"/>
        </w:rPr>
        <w:tab/>
        <w:t xml:space="preserve">Dranka GG, Cunha J, de Lima JD, Ferreira P. Economic evaluation methodologies for renewable energy projects. Vol. 8, AIMS Energy. 2020. </w:t>
      </w:r>
    </w:p>
    <w:p w14:paraId="1593DDD9"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24. </w:t>
      </w:r>
      <w:r w:rsidRPr="000E6908">
        <w:rPr>
          <w:rFonts w:ascii="Times New Roman" w:hAnsi="Times New Roman" w:cs="Times New Roman"/>
          <w:noProof/>
          <w:sz w:val="24"/>
          <w:szCs w:val="24"/>
        </w:rPr>
        <w:tab/>
        <w:t xml:space="preserve">Damodaran A. APPLIED CORPORATE FINANCE. 2010. 52–67 p. </w:t>
      </w:r>
    </w:p>
    <w:p w14:paraId="64B28E45"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25. </w:t>
      </w:r>
      <w:r w:rsidRPr="000E6908">
        <w:rPr>
          <w:rFonts w:ascii="Times New Roman" w:hAnsi="Times New Roman" w:cs="Times New Roman"/>
          <w:noProof/>
          <w:sz w:val="24"/>
          <w:szCs w:val="24"/>
        </w:rPr>
        <w:tab/>
        <w:t xml:space="preserve">Mota AG. PROJECT INVESTMENT ANALYSIS. 2015. </w:t>
      </w:r>
    </w:p>
    <w:p w14:paraId="3108CF00"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26. </w:t>
      </w:r>
      <w:r w:rsidRPr="000E6908">
        <w:rPr>
          <w:rFonts w:ascii="Times New Roman" w:hAnsi="Times New Roman" w:cs="Times New Roman"/>
          <w:noProof/>
          <w:sz w:val="24"/>
          <w:szCs w:val="24"/>
        </w:rPr>
        <w:tab/>
        <w:t xml:space="preserve">Pienaar A. Investment appraisal: A critical review of the adjusted present value </w:t>
      </w:r>
      <w:r w:rsidRPr="000E6908">
        <w:rPr>
          <w:rFonts w:ascii="Times New Roman" w:hAnsi="Times New Roman" w:cs="Times New Roman"/>
          <w:noProof/>
          <w:sz w:val="24"/>
          <w:szCs w:val="24"/>
        </w:rPr>
        <w:lastRenderedPageBreak/>
        <w:t>(APV) method from a South African perspective [Internet]. Vol. 6, Meditari Accountancy Research. 1998. 279–300 p. Available from: https://repository.up.ac.za/bitstream/handle/2263/15318/Pienaar_Investment%281998%29.pdf?sequence=1&amp;isAllowed=y</w:t>
      </w:r>
    </w:p>
    <w:p w14:paraId="39F9F5FD"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27. </w:t>
      </w:r>
      <w:r w:rsidRPr="000E6908">
        <w:rPr>
          <w:rFonts w:ascii="Times New Roman" w:hAnsi="Times New Roman" w:cs="Times New Roman"/>
          <w:noProof/>
          <w:sz w:val="24"/>
          <w:szCs w:val="24"/>
        </w:rPr>
        <w:tab/>
        <w:t xml:space="preserve">Brigham EF, Daves PR. Intermediate financial management. Vol. 21, The British Accounting Review. 1989. 286–288 p. </w:t>
      </w:r>
    </w:p>
    <w:p w14:paraId="455EAD39"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28. </w:t>
      </w:r>
      <w:r w:rsidRPr="000E6908">
        <w:rPr>
          <w:rFonts w:ascii="Times New Roman" w:hAnsi="Times New Roman" w:cs="Times New Roman"/>
          <w:noProof/>
          <w:sz w:val="24"/>
          <w:szCs w:val="24"/>
        </w:rPr>
        <w:tab/>
        <w:t xml:space="preserve">Booth L. Finding Value Where None Exists: Pitfalls in Using Adjusted Present Value. Vol. 15, Journal of Applied Corporate Finance. 2002. </w:t>
      </w:r>
    </w:p>
    <w:p w14:paraId="5C283407"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29. </w:t>
      </w:r>
      <w:r w:rsidRPr="000E6908">
        <w:rPr>
          <w:rFonts w:ascii="Times New Roman" w:hAnsi="Times New Roman" w:cs="Times New Roman"/>
          <w:noProof/>
          <w:sz w:val="24"/>
          <w:szCs w:val="24"/>
        </w:rPr>
        <w:tab/>
        <w:t xml:space="preserve">Gu F, Jiang Z, Su J. Application of Features and Neural Network to Enhance the Performance of Deep Reinforcement Learning in Portfolio Management. 2021 IEEE 6th International Conference on Big Data Analytics, ICBDA 2021. 2021. </w:t>
      </w:r>
    </w:p>
    <w:p w14:paraId="0D60E5F6"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624E11">
        <w:rPr>
          <w:rFonts w:ascii="Times New Roman" w:hAnsi="Times New Roman" w:cs="Times New Roman"/>
          <w:noProof/>
          <w:sz w:val="24"/>
          <w:szCs w:val="24"/>
          <w:lang w:val="pt-PT"/>
        </w:rPr>
        <w:t xml:space="preserve">30. </w:t>
      </w:r>
      <w:r w:rsidRPr="00624E11">
        <w:rPr>
          <w:rFonts w:ascii="Times New Roman" w:hAnsi="Times New Roman" w:cs="Times New Roman"/>
          <w:noProof/>
          <w:sz w:val="24"/>
          <w:szCs w:val="24"/>
          <w:lang w:val="pt-PT"/>
        </w:rPr>
        <w:tab/>
        <w:t xml:space="preserve">Talavera DL, Pérez-Higueras P, Almonacid F, Fernández EF. </w:t>
      </w:r>
      <w:r w:rsidRPr="000E6908">
        <w:rPr>
          <w:rFonts w:ascii="Times New Roman" w:hAnsi="Times New Roman" w:cs="Times New Roman"/>
          <w:noProof/>
          <w:sz w:val="24"/>
          <w:szCs w:val="24"/>
        </w:rPr>
        <w:t xml:space="preserve">A worldwide assessment of economic feasibility of HCPV power plants: Profitability and competitiveness. Vol. 119, Energy. 2017. </w:t>
      </w:r>
    </w:p>
    <w:p w14:paraId="5962B3AE"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31. </w:t>
      </w:r>
      <w:r w:rsidRPr="000E6908">
        <w:rPr>
          <w:rFonts w:ascii="Times New Roman" w:hAnsi="Times New Roman" w:cs="Times New Roman"/>
          <w:noProof/>
          <w:sz w:val="24"/>
          <w:szCs w:val="24"/>
        </w:rPr>
        <w:tab/>
        <w:t xml:space="preserve">Balyeat B, Cagle J. MIRR : The Means to an End ? Reinforcing Optimal Investment Decisions Using the NPV Rule. Vol. 41, Journal of Financial Education. 2015. </w:t>
      </w:r>
    </w:p>
    <w:p w14:paraId="3A940595"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32. </w:t>
      </w:r>
      <w:r w:rsidRPr="000E6908">
        <w:rPr>
          <w:rFonts w:ascii="Times New Roman" w:hAnsi="Times New Roman" w:cs="Times New Roman"/>
          <w:noProof/>
          <w:sz w:val="24"/>
          <w:szCs w:val="24"/>
        </w:rPr>
        <w:tab/>
        <w:t xml:space="preserve">Kierulff H. MIRR: A better measure. Vol. 51, Business Horizons. 2008. </w:t>
      </w:r>
    </w:p>
    <w:p w14:paraId="5BA70A22"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33. </w:t>
      </w:r>
      <w:r w:rsidRPr="000E6908">
        <w:rPr>
          <w:rFonts w:ascii="Times New Roman" w:hAnsi="Times New Roman" w:cs="Times New Roman"/>
          <w:noProof/>
          <w:sz w:val="24"/>
          <w:szCs w:val="24"/>
        </w:rPr>
        <w:tab/>
        <w:t xml:space="preserve">Mäkeläinen E. Economic Value Added AS A management tool. Helsinki School of Economics and Business Administration Department; 1998. </w:t>
      </w:r>
    </w:p>
    <w:p w14:paraId="323C8E7F" w14:textId="77777777" w:rsidR="000E6908" w:rsidRPr="00056276"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lang w:val="pt-PT"/>
        </w:rPr>
      </w:pPr>
      <w:r w:rsidRPr="00056276">
        <w:rPr>
          <w:rFonts w:ascii="Times New Roman" w:hAnsi="Times New Roman" w:cs="Times New Roman"/>
          <w:noProof/>
          <w:sz w:val="24"/>
          <w:szCs w:val="24"/>
          <w:lang w:val="pt-PT"/>
        </w:rPr>
        <w:t xml:space="preserve">34. </w:t>
      </w:r>
      <w:r w:rsidRPr="00056276">
        <w:rPr>
          <w:rFonts w:ascii="Times New Roman" w:hAnsi="Times New Roman" w:cs="Times New Roman"/>
          <w:noProof/>
          <w:sz w:val="24"/>
          <w:szCs w:val="24"/>
          <w:lang w:val="pt-PT"/>
        </w:rPr>
        <w:tab/>
        <w:t xml:space="preserve">PLETSCH GB. MODELO MULTICRITÉRIO PARA SELEÇÃO E AVALIAÇÃO ECONÔMICA DE TECNOLOGIAS DE SEPARAÇÃO DE RESÍDUOS LÁCTEOS. 2020. </w:t>
      </w:r>
    </w:p>
    <w:p w14:paraId="5833774D"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56276">
        <w:rPr>
          <w:rFonts w:ascii="Times New Roman" w:hAnsi="Times New Roman" w:cs="Times New Roman"/>
          <w:noProof/>
          <w:sz w:val="24"/>
          <w:szCs w:val="24"/>
          <w:lang w:val="pt-PT"/>
        </w:rPr>
        <w:t xml:space="preserve">35. </w:t>
      </w:r>
      <w:r w:rsidRPr="00056276">
        <w:rPr>
          <w:rFonts w:ascii="Times New Roman" w:hAnsi="Times New Roman" w:cs="Times New Roman"/>
          <w:noProof/>
          <w:sz w:val="24"/>
          <w:szCs w:val="24"/>
          <w:lang w:val="pt-PT"/>
        </w:rPr>
        <w:tab/>
        <w:t xml:space="preserve">Rasoto A, Gnoatto AA, Oliveira AG de, Rosa CF da, Ishikawa G, Carvalho HA de, et al. </w:t>
      </w:r>
      <w:r w:rsidRPr="000E6908">
        <w:rPr>
          <w:rFonts w:ascii="Times New Roman" w:hAnsi="Times New Roman" w:cs="Times New Roman"/>
          <w:noProof/>
          <w:sz w:val="24"/>
          <w:szCs w:val="24"/>
        </w:rPr>
        <w:t xml:space="preserve">Gestão Financeira : enfoque em Inovação. 2012. </w:t>
      </w:r>
    </w:p>
    <w:p w14:paraId="4974A4A8"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36. </w:t>
      </w:r>
      <w:r w:rsidRPr="000E6908">
        <w:rPr>
          <w:rFonts w:ascii="Times New Roman" w:hAnsi="Times New Roman" w:cs="Times New Roman"/>
          <w:noProof/>
          <w:sz w:val="24"/>
          <w:szCs w:val="24"/>
        </w:rPr>
        <w:tab/>
        <w:t>Kim K, Park H, Kim H. Real options analysis for renewable energy investment decisions in developing countries. Renew Sustain Energy Rev [Internet]. 2017;75(October 2015):918–26. Available from: http://dx.doi.org/10.1016/j.rser.2016.11.073</w:t>
      </w:r>
    </w:p>
    <w:p w14:paraId="1ADD9926"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37. </w:t>
      </w:r>
      <w:r w:rsidRPr="000E6908">
        <w:rPr>
          <w:rFonts w:ascii="Times New Roman" w:hAnsi="Times New Roman" w:cs="Times New Roman"/>
          <w:noProof/>
          <w:sz w:val="24"/>
          <w:szCs w:val="24"/>
        </w:rPr>
        <w:tab/>
        <w:t xml:space="preserve">Delapedra-Silva V, Ferreira P, Cunha J, Kimura H. Methods for Financial Assessment of Renewable Energy Projects: A Review. Processes. 2022;10(2). </w:t>
      </w:r>
    </w:p>
    <w:p w14:paraId="424911A9"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38. </w:t>
      </w:r>
      <w:r w:rsidRPr="000E6908">
        <w:rPr>
          <w:rFonts w:ascii="Times New Roman" w:hAnsi="Times New Roman" w:cs="Times New Roman"/>
          <w:noProof/>
          <w:sz w:val="24"/>
          <w:szCs w:val="24"/>
        </w:rPr>
        <w:tab/>
        <w:t xml:space="preserve">Fernandes B, Cunha J, Ferreira P. Real Options Theory in Comparison To Other Project Evaluation Techniques. 1st International Conference on Project Economic Evaluation ICOPEV 2011, Guimarães, Portugal. 2011. </w:t>
      </w:r>
    </w:p>
    <w:p w14:paraId="0837457B"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39. </w:t>
      </w:r>
      <w:r w:rsidRPr="000E6908">
        <w:rPr>
          <w:rFonts w:ascii="Times New Roman" w:hAnsi="Times New Roman" w:cs="Times New Roman"/>
          <w:noProof/>
          <w:sz w:val="24"/>
          <w:szCs w:val="24"/>
        </w:rPr>
        <w:tab/>
        <w:t xml:space="preserve">Liu Y. Evaluation Method Based on NPV and IRR. Vol. 656, Proceedings of </w:t>
      </w:r>
      <w:r w:rsidRPr="000E6908">
        <w:rPr>
          <w:rFonts w:ascii="Times New Roman" w:hAnsi="Times New Roman" w:cs="Times New Roman"/>
          <w:noProof/>
          <w:sz w:val="24"/>
          <w:szCs w:val="24"/>
        </w:rPr>
        <w:lastRenderedPageBreak/>
        <w:t xml:space="preserve">the 2022 2nd International Conference on Enterprise Management and Economic Development (ICEMED 2022). 2022. </w:t>
      </w:r>
    </w:p>
    <w:p w14:paraId="4B71454B"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40. </w:t>
      </w:r>
      <w:r w:rsidRPr="000E6908">
        <w:rPr>
          <w:rFonts w:ascii="Times New Roman" w:hAnsi="Times New Roman" w:cs="Times New Roman"/>
          <w:noProof/>
          <w:sz w:val="24"/>
          <w:szCs w:val="24"/>
        </w:rPr>
        <w:tab/>
        <w:t>Bora DB. COMPARISON BETWEEN NET PRESENT VALUE AND INTERNAL RATE OF RETURN. Int J Res Financ Mark [Internet]. 2015;5(12):61–71. Available from: http://onlinelibrary.wiley.com/doi/10.1111/j.1745-6622.2002.tb00337.x/full</w:t>
      </w:r>
    </w:p>
    <w:p w14:paraId="537C1E45"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56276">
        <w:rPr>
          <w:rFonts w:ascii="Times New Roman" w:hAnsi="Times New Roman" w:cs="Times New Roman"/>
          <w:noProof/>
          <w:sz w:val="24"/>
          <w:szCs w:val="24"/>
          <w:lang w:val="pt-PT"/>
        </w:rPr>
        <w:t xml:space="preserve">41. </w:t>
      </w:r>
      <w:r w:rsidRPr="00056276">
        <w:rPr>
          <w:rFonts w:ascii="Times New Roman" w:hAnsi="Times New Roman" w:cs="Times New Roman"/>
          <w:noProof/>
          <w:sz w:val="24"/>
          <w:szCs w:val="24"/>
          <w:lang w:val="pt-PT"/>
        </w:rPr>
        <w:tab/>
        <w:t xml:space="preserve">Souza; A, Clemente A. Decisões Financeiras e Análises de Investimentos: Conceitos, técnicas e aplicações. </w:t>
      </w:r>
      <w:r w:rsidRPr="000E6908">
        <w:rPr>
          <w:rFonts w:ascii="Times New Roman" w:hAnsi="Times New Roman" w:cs="Times New Roman"/>
          <w:noProof/>
          <w:sz w:val="24"/>
          <w:szCs w:val="24"/>
        </w:rPr>
        <w:t xml:space="preserve">5. ed. Atlas 2012, editor. São Paulo:; 2009. </w:t>
      </w:r>
    </w:p>
    <w:p w14:paraId="5BA2169B"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42. </w:t>
      </w:r>
      <w:r w:rsidRPr="000E6908">
        <w:rPr>
          <w:rFonts w:ascii="Times New Roman" w:hAnsi="Times New Roman" w:cs="Times New Roman"/>
          <w:noProof/>
          <w:sz w:val="24"/>
          <w:szCs w:val="24"/>
        </w:rPr>
        <w:tab/>
        <w:t xml:space="preserve">Lima JD De, Trentin MG, Oliveira GA, Batistus DR, Setti D. A systematic approach for the analysis of the economic viability of investment projects. Vol. 5, International Journal of Engineering Management and Economics. 2015. </w:t>
      </w:r>
    </w:p>
    <w:p w14:paraId="744A1478"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szCs w:val="24"/>
        </w:rPr>
      </w:pPr>
      <w:r w:rsidRPr="000E6908">
        <w:rPr>
          <w:rFonts w:ascii="Times New Roman" w:hAnsi="Times New Roman" w:cs="Times New Roman"/>
          <w:noProof/>
          <w:sz w:val="24"/>
          <w:szCs w:val="24"/>
        </w:rPr>
        <w:t xml:space="preserve">43. </w:t>
      </w:r>
      <w:r w:rsidRPr="000E6908">
        <w:rPr>
          <w:rFonts w:ascii="Times New Roman" w:hAnsi="Times New Roman" w:cs="Times New Roman"/>
          <w:noProof/>
          <w:sz w:val="24"/>
          <w:szCs w:val="24"/>
        </w:rPr>
        <w:tab/>
        <w:t>Strantzali E, Aravossis K. Decision making in renewable energy investments: A review. Renew Sustain Energy Rev [Internet]. 2016;55:885–98. Available from: http://dx.doi.org/10.1016/j.rser.2015.11.021</w:t>
      </w:r>
    </w:p>
    <w:p w14:paraId="59002977" w14:textId="77777777" w:rsidR="000E6908" w:rsidRPr="000E6908" w:rsidRDefault="000E6908" w:rsidP="00624E11">
      <w:pPr>
        <w:widowControl w:val="0"/>
        <w:autoSpaceDE w:val="0"/>
        <w:autoSpaceDN w:val="0"/>
        <w:adjustRightInd w:val="0"/>
        <w:spacing w:after="0" w:line="360" w:lineRule="auto"/>
        <w:ind w:firstLine="709"/>
        <w:jc w:val="both"/>
        <w:rPr>
          <w:rFonts w:ascii="Times New Roman" w:hAnsi="Times New Roman" w:cs="Times New Roman"/>
          <w:noProof/>
          <w:sz w:val="24"/>
        </w:rPr>
      </w:pPr>
      <w:r w:rsidRPr="000E6908">
        <w:rPr>
          <w:rFonts w:ascii="Times New Roman" w:hAnsi="Times New Roman" w:cs="Times New Roman"/>
          <w:noProof/>
          <w:sz w:val="24"/>
          <w:szCs w:val="24"/>
        </w:rPr>
        <w:t xml:space="preserve">44. </w:t>
      </w:r>
      <w:r w:rsidRPr="000E6908">
        <w:rPr>
          <w:rFonts w:ascii="Times New Roman" w:hAnsi="Times New Roman" w:cs="Times New Roman"/>
          <w:noProof/>
          <w:sz w:val="24"/>
          <w:szCs w:val="24"/>
        </w:rPr>
        <w:tab/>
        <w:t xml:space="preserve">Finnveden G, Moberg Å. Environmental systems analysis tools - An overview. Vol. 13, Journal of Cleaner Production. 2005. </w:t>
      </w:r>
    </w:p>
    <w:p w14:paraId="75238863" w14:textId="0D68605A" w:rsidR="00ED22F1" w:rsidRDefault="008C7424" w:rsidP="00624E11">
      <w:pPr>
        <w:spacing w:after="0" w:line="360" w:lineRule="auto"/>
        <w:ind w:firstLine="709"/>
        <w:jc w:val="both"/>
        <w:rPr>
          <w:rFonts w:ascii="Times New Roman" w:hAnsi="Times New Roman" w:cs="Times New Roman"/>
          <w:sz w:val="24"/>
          <w:szCs w:val="24"/>
        </w:rPr>
      </w:pPr>
      <w:r w:rsidRPr="00D01C3E">
        <w:rPr>
          <w:rFonts w:ascii="Times New Roman" w:hAnsi="Times New Roman" w:cs="Times New Roman"/>
          <w:sz w:val="24"/>
          <w:szCs w:val="24"/>
        </w:rPr>
        <w:fldChar w:fldCharType="end"/>
      </w:r>
    </w:p>
    <w:sectPr w:rsidR="00ED22F1" w:rsidSect="00277823">
      <w:headerReference w:type="default" r:id="rId8"/>
      <w:footerReference w:type="defaul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60F43" w14:textId="77777777" w:rsidR="00165DC0" w:rsidRDefault="00165DC0" w:rsidP="0092065E">
      <w:pPr>
        <w:spacing w:after="0" w:line="240" w:lineRule="auto"/>
      </w:pPr>
      <w:r>
        <w:separator/>
      </w:r>
    </w:p>
  </w:endnote>
  <w:endnote w:type="continuationSeparator" w:id="0">
    <w:p w14:paraId="1C9993D3" w14:textId="77777777" w:rsidR="00165DC0" w:rsidRDefault="00165DC0" w:rsidP="0092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708A" w14:textId="2AE40B30" w:rsidR="009E3063" w:rsidRDefault="009E3063">
    <w:pPr>
      <w:pStyle w:val="Rodap"/>
      <w:pBdr>
        <w:bottom w:val="single" w:sz="6" w:space="1" w:color="auto"/>
      </w:pBdr>
    </w:pPr>
  </w:p>
  <w:p w14:paraId="23A391E3" w14:textId="723F6ABB" w:rsidR="009E3063" w:rsidRDefault="009E3063">
    <w:pPr>
      <w:pStyle w:val="Rodap"/>
    </w:pPr>
    <w:r w:rsidRPr="001E2560">
      <w:rPr>
        <w:lang w:val="pt-PT"/>
      </w:rPr>
      <w:t xml:space="preserve">ULISBOA-FCT/ NOVA de Lisboa-U. </w:t>
    </w:r>
    <w:r>
      <w:t>PORTO</w:t>
    </w:r>
  </w:p>
  <w:p w14:paraId="0EBD4E94" w14:textId="77777777" w:rsidR="009E3063" w:rsidRDefault="009E306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A66B" w14:textId="77777777" w:rsidR="00165DC0" w:rsidRDefault="00165DC0" w:rsidP="0092065E">
      <w:pPr>
        <w:spacing w:after="0" w:line="240" w:lineRule="auto"/>
      </w:pPr>
      <w:r>
        <w:separator/>
      </w:r>
    </w:p>
  </w:footnote>
  <w:footnote w:type="continuationSeparator" w:id="0">
    <w:p w14:paraId="2F39933A" w14:textId="77777777" w:rsidR="00165DC0" w:rsidRDefault="00165DC0" w:rsidP="0092065E">
      <w:pPr>
        <w:spacing w:after="0" w:line="240" w:lineRule="auto"/>
      </w:pPr>
      <w:r>
        <w:continuationSeparator/>
      </w:r>
    </w:p>
  </w:footnote>
  <w:footnote w:id="1">
    <w:p w14:paraId="1CE66C56" w14:textId="0B652079" w:rsidR="009E3063" w:rsidRPr="005309B0" w:rsidRDefault="009E3063" w:rsidP="00255B5F">
      <w:pPr>
        <w:pStyle w:val="Textodenotaderodap"/>
        <w:rPr>
          <w:rFonts w:ascii="Times New Roman" w:hAnsi="Times New Roman" w:cs="Times New Roman"/>
          <w:lang w:val="pt-PT"/>
        </w:rPr>
      </w:pPr>
      <w:r w:rsidRPr="00980C8C">
        <w:rPr>
          <w:rStyle w:val="Refdenotaderodap"/>
          <w:rFonts w:ascii="Times New Roman" w:hAnsi="Times New Roman" w:cs="Times New Roman"/>
        </w:rPr>
        <w:footnoteRef/>
      </w:r>
      <w:r w:rsidRPr="005309B0">
        <w:rPr>
          <w:rFonts w:ascii="Times New Roman" w:hAnsi="Times New Roman" w:cs="Times New Roman"/>
          <w:lang w:val="pt-PT"/>
        </w:rPr>
        <w:t xml:space="preserve"> De acordo com o estudo de Dranka et al </w:t>
      </w:r>
      <w:r w:rsidRPr="00980C8C">
        <w:rPr>
          <w:rFonts w:ascii="Times New Roman" w:hAnsi="Times New Roman" w:cs="Times New Roman"/>
          <w:lang w:val="pt-PT"/>
        </w:rPr>
        <w:fldChar w:fldCharType="begin" w:fldLock="1"/>
      </w:r>
      <w:r w:rsidR="000E6908">
        <w:rPr>
          <w:rFonts w:ascii="Times New Roman" w:hAnsi="Times New Roman" w:cs="Times New Roman"/>
          <w:lang w:val="pt-PT"/>
        </w:rPr>
        <w:instrText>ADDIN CSL_CITATION {"citationItems":[{"id":"ITEM-1","itemData":{"DOI":"10.3934/ENERGY.2020.2.339","ISSN":"23338334","abstract":"Typically, the economic analysis of Renewable Energy Projects (REP) has been assessed considering Classical Methodologies of Investment Analysis (CMIA) in which only a few set of indicators are included, highlighting the Payback, Net Present Value and Internal Rate of Return. This excessive reliance on CMIA has been criticized because it neglects managerial flexibility, and it may end up leading to the project's undervaluation. This paper attempts firstly, to identify and describe the complementarity among economic evaluation methodologies for REP. Secondly, a novel framework is proposed for conducting the economic analysis to help decision-makers in identifying the most suitable methodology before proceeding with the investment. The findings of the study suggest that CMIA may be suitable for the cases of projects presenting low volatility. However, the analysis should be supplemented by a new set of indicators for projects with medium or high volatility. The Multi-Index Methodology (MIM), the Extended Multi-Index Methodology (EMIM) and the Real Options Analysis (ROA) are proposed to increase the investors' perception towards both the project's profitability and risk and to account for flexibility. The application of the proposed framework is demonstrated for the case of a Small Hydropower Plant (SHP) investment project. The outcomes of this paper also include the opportunities for decision-makers to flexibly respond to changes in the business and economic market using the proposed conceptual framework.","author":[{"dropping-particle":"","family":"Dranka","given":"Géremi Gilson","non-dropping-particle":"","parse-names":false,"suffix":""},{"dropping-particle":"","family":"Cunha","given":"Jorge","non-dropping-particle":"","parse-names":false,"suffix":""},{"dropping-particle":"","family":"Lima","given":"José Donizetti","non-dropping-particle":"de","parse-names":false,"suffix":""},{"dropping-particle":"","family":"Ferreira","given":"Paula","non-dropping-particle":"","parse-names":false,"suffix":""}],"container-title":"AIMS Energy","id":"ITEM-1","issue":"2","issued":{"date-parts":[["2020"]]},"number-of-pages":"339-364","title":"Economic evaluation methodologies for renewable energy projects","type":"report","volume":"8"},"uris":["http://www.mendeley.com/documents/?uuid=1fe5f3e7-b22d-4e41-8980-968b25750983"]}],"mendeley":{"formattedCitation":"(23)","plainTextFormattedCitation":"(23)","previouslyFormattedCitation":"(22)"},"properties":{"noteIndex":0},"schema":"https://github.com/citation-style-language/schema/raw/master/csl-citation.json"}</w:instrText>
      </w:r>
      <w:r w:rsidRPr="00980C8C">
        <w:rPr>
          <w:rFonts w:ascii="Times New Roman" w:hAnsi="Times New Roman" w:cs="Times New Roman"/>
          <w:lang w:val="pt-PT"/>
        </w:rPr>
        <w:fldChar w:fldCharType="separate"/>
      </w:r>
      <w:r w:rsidR="000E6908" w:rsidRPr="000E6908">
        <w:rPr>
          <w:rFonts w:ascii="Times New Roman" w:hAnsi="Times New Roman" w:cs="Times New Roman"/>
          <w:noProof/>
          <w:lang w:val="pt-PT"/>
        </w:rPr>
        <w:t>(23)</w:t>
      </w:r>
      <w:r w:rsidRPr="00980C8C">
        <w:rPr>
          <w:rFonts w:ascii="Times New Roman" w:hAnsi="Times New Roman" w:cs="Times New Roman"/>
          <w:lang w:val="pt-PT"/>
        </w:rPr>
        <w:fldChar w:fldCharType="end"/>
      </w:r>
      <w:r w:rsidRPr="005309B0">
        <w:rPr>
          <w:rFonts w:ascii="Times New Roman" w:hAnsi="Times New Roman" w:cs="Times New Roman"/>
          <w:lang w:val="pt-PT"/>
        </w:rPr>
        <w:t xml:space="preserve"> a sigla MRA significa Taxa Mínima de Atratividade. CF0 é o investimento inicial e CFj é o fluxo de caixa para cada período j</w:t>
      </w:r>
      <w:r>
        <w:rPr>
          <w:rFonts w:ascii="Times New Roman" w:hAnsi="Times New Roman" w:cs="Times New Roman"/>
          <w:lang w:val="pt-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815162"/>
      <w:docPartObj>
        <w:docPartGallery w:val="Page Numbers (Top of Page)"/>
        <w:docPartUnique/>
      </w:docPartObj>
    </w:sdtPr>
    <w:sdtContent>
      <w:p w14:paraId="4BA7DE82" w14:textId="4769DB49" w:rsidR="009E3063" w:rsidRDefault="009E3063">
        <w:pPr>
          <w:pStyle w:val="Cabealho"/>
          <w:jc w:val="right"/>
        </w:pPr>
        <w:r>
          <w:fldChar w:fldCharType="begin"/>
        </w:r>
        <w:r>
          <w:instrText>PAGE   \* MERGEFORMAT</w:instrText>
        </w:r>
        <w:r>
          <w:fldChar w:fldCharType="separate"/>
        </w:r>
        <w:r>
          <w:rPr>
            <w:lang w:val="pt-BR"/>
          </w:rPr>
          <w:t>2</w:t>
        </w:r>
        <w:r>
          <w:fldChar w:fldCharType="end"/>
        </w:r>
      </w:p>
    </w:sdtContent>
  </w:sdt>
  <w:p w14:paraId="772DA416" w14:textId="77777777" w:rsidR="009E3063" w:rsidRPr="0092065E" w:rsidRDefault="009E306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931"/>
    <w:multiLevelType w:val="multilevel"/>
    <w:tmpl w:val="156ADA0C"/>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sz w:val="32"/>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FB008F"/>
    <w:multiLevelType w:val="multilevel"/>
    <w:tmpl w:val="71BCA700"/>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b w:val="0"/>
        <w:sz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9B5B1E"/>
    <w:multiLevelType w:val="multilevel"/>
    <w:tmpl w:val="3B6C27E2"/>
    <w:lvl w:ilvl="0">
      <w:start w:val="1"/>
      <w:numFmt w:val="decimal"/>
      <w:lvlText w:val="%1)"/>
      <w:lvlJc w:val="left"/>
      <w:pPr>
        <w:ind w:left="360" w:hanging="360"/>
      </w:pPr>
      <w:rPr>
        <w:rFonts w:hint="default"/>
        <w:color w:val="000000" w:themeColor="text1"/>
      </w:rPr>
    </w:lvl>
    <w:lvl w:ilvl="1">
      <w:start w:val="1"/>
      <w:numFmt w:val="lowerLetter"/>
      <w:lvlText w:val="%2)"/>
      <w:lvlJc w:val="left"/>
      <w:pPr>
        <w:ind w:left="720" w:hanging="360"/>
      </w:pPr>
      <w:rPr>
        <w:rFonts w:hint="default"/>
        <w:color w:val="000000" w:themeColor="text1"/>
        <w:sz w:val="32"/>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4E2336"/>
    <w:multiLevelType w:val="multilevel"/>
    <w:tmpl w:val="A3A4330E"/>
    <w:styleLink w:val="Listaatual1"/>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B54240"/>
    <w:multiLevelType w:val="multilevel"/>
    <w:tmpl w:val="156ADA0C"/>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sz w:val="32"/>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C91C1E"/>
    <w:multiLevelType w:val="multilevel"/>
    <w:tmpl w:val="A3A4330E"/>
    <w:numStyleLink w:val="Listaatual1"/>
  </w:abstractNum>
  <w:abstractNum w:abstractNumId="6" w15:restartNumberingAfterBreak="0">
    <w:nsid w:val="184D7ADD"/>
    <w:multiLevelType w:val="multilevel"/>
    <w:tmpl w:val="156ADA0C"/>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sz w:val="32"/>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901DA3"/>
    <w:multiLevelType w:val="multilevel"/>
    <w:tmpl w:val="DC6256F2"/>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553235C"/>
    <w:multiLevelType w:val="multilevel"/>
    <w:tmpl w:val="156ADA0C"/>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sz w:val="32"/>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0E38DE"/>
    <w:multiLevelType w:val="multilevel"/>
    <w:tmpl w:val="0816001D"/>
    <w:lvl w:ilvl="0">
      <w:start w:val="1"/>
      <w:numFmt w:val="decimal"/>
      <w:lvlText w:val="%1)"/>
      <w:lvlJc w:val="left"/>
      <w:pPr>
        <w:ind w:left="1778" w:hanging="360"/>
      </w:pPr>
    </w:lvl>
    <w:lvl w:ilvl="1">
      <w:start w:val="1"/>
      <w:numFmt w:val="lowerLetter"/>
      <w:lvlText w:val="%2)"/>
      <w:lvlJc w:val="left"/>
      <w:pPr>
        <w:ind w:left="2138" w:hanging="360"/>
      </w:pPr>
    </w:lvl>
    <w:lvl w:ilvl="2">
      <w:start w:val="1"/>
      <w:numFmt w:val="lowerRoman"/>
      <w:lvlText w:val="%3)"/>
      <w:lvlJc w:val="left"/>
      <w:pPr>
        <w:ind w:left="2498" w:hanging="360"/>
      </w:pPr>
    </w:lvl>
    <w:lvl w:ilvl="3">
      <w:start w:val="1"/>
      <w:numFmt w:val="decimal"/>
      <w:lvlText w:val="(%4)"/>
      <w:lvlJc w:val="left"/>
      <w:pPr>
        <w:ind w:left="2858" w:hanging="360"/>
      </w:pPr>
    </w:lvl>
    <w:lvl w:ilvl="4">
      <w:start w:val="1"/>
      <w:numFmt w:val="lowerLetter"/>
      <w:lvlText w:val="(%5)"/>
      <w:lvlJc w:val="left"/>
      <w:pPr>
        <w:ind w:left="3218" w:hanging="360"/>
      </w:pPr>
    </w:lvl>
    <w:lvl w:ilvl="5">
      <w:start w:val="1"/>
      <w:numFmt w:val="lowerRoman"/>
      <w:lvlText w:val="(%6)"/>
      <w:lvlJc w:val="left"/>
      <w:pPr>
        <w:ind w:left="3578" w:hanging="360"/>
      </w:pPr>
    </w:lvl>
    <w:lvl w:ilvl="6">
      <w:start w:val="1"/>
      <w:numFmt w:val="decimal"/>
      <w:lvlText w:val="%7."/>
      <w:lvlJc w:val="left"/>
      <w:pPr>
        <w:ind w:left="3938" w:hanging="360"/>
      </w:pPr>
    </w:lvl>
    <w:lvl w:ilvl="7">
      <w:start w:val="1"/>
      <w:numFmt w:val="lowerLetter"/>
      <w:lvlText w:val="%8."/>
      <w:lvlJc w:val="left"/>
      <w:pPr>
        <w:ind w:left="4298" w:hanging="360"/>
      </w:pPr>
    </w:lvl>
    <w:lvl w:ilvl="8">
      <w:start w:val="1"/>
      <w:numFmt w:val="lowerRoman"/>
      <w:lvlText w:val="%9."/>
      <w:lvlJc w:val="left"/>
      <w:pPr>
        <w:ind w:left="4658" w:hanging="360"/>
      </w:pPr>
    </w:lvl>
  </w:abstractNum>
  <w:abstractNum w:abstractNumId="10" w15:restartNumberingAfterBreak="0">
    <w:nsid w:val="3AD53131"/>
    <w:multiLevelType w:val="multilevel"/>
    <w:tmpl w:val="156ADA0C"/>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sz w:val="32"/>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5D2B40"/>
    <w:multiLevelType w:val="multilevel"/>
    <w:tmpl w:val="3B6C27E2"/>
    <w:lvl w:ilvl="0">
      <w:start w:val="1"/>
      <w:numFmt w:val="decimal"/>
      <w:lvlText w:val="%1)"/>
      <w:lvlJc w:val="left"/>
      <w:pPr>
        <w:ind w:left="360" w:hanging="360"/>
      </w:pPr>
      <w:rPr>
        <w:rFonts w:hint="default"/>
        <w:color w:val="000000" w:themeColor="text1"/>
      </w:rPr>
    </w:lvl>
    <w:lvl w:ilvl="1">
      <w:start w:val="1"/>
      <w:numFmt w:val="lowerLetter"/>
      <w:lvlText w:val="%2)"/>
      <w:lvlJc w:val="left"/>
      <w:pPr>
        <w:ind w:left="720" w:hanging="360"/>
      </w:pPr>
      <w:rPr>
        <w:rFonts w:hint="default"/>
        <w:color w:val="000000" w:themeColor="text1"/>
        <w:sz w:val="32"/>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ECB2898"/>
    <w:multiLevelType w:val="multilevel"/>
    <w:tmpl w:val="156ADA0C"/>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sz w:val="32"/>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0673C0"/>
    <w:multiLevelType w:val="multilevel"/>
    <w:tmpl w:val="9824064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DFA0D83"/>
    <w:multiLevelType w:val="multilevel"/>
    <w:tmpl w:val="0816001D"/>
    <w:lvl w:ilvl="0">
      <w:start w:val="1"/>
      <w:numFmt w:val="decimal"/>
      <w:lvlText w:val="%1)"/>
      <w:lvlJc w:val="left"/>
      <w:pPr>
        <w:ind w:left="1778" w:hanging="360"/>
      </w:pPr>
    </w:lvl>
    <w:lvl w:ilvl="1">
      <w:start w:val="1"/>
      <w:numFmt w:val="lowerLetter"/>
      <w:lvlText w:val="%2)"/>
      <w:lvlJc w:val="left"/>
      <w:pPr>
        <w:ind w:left="2138" w:hanging="360"/>
      </w:pPr>
    </w:lvl>
    <w:lvl w:ilvl="2">
      <w:start w:val="1"/>
      <w:numFmt w:val="lowerRoman"/>
      <w:lvlText w:val="%3)"/>
      <w:lvlJc w:val="left"/>
      <w:pPr>
        <w:ind w:left="2498" w:hanging="360"/>
      </w:pPr>
    </w:lvl>
    <w:lvl w:ilvl="3">
      <w:start w:val="1"/>
      <w:numFmt w:val="decimal"/>
      <w:lvlText w:val="(%4)"/>
      <w:lvlJc w:val="left"/>
      <w:pPr>
        <w:ind w:left="2858" w:hanging="360"/>
      </w:pPr>
    </w:lvl>
    <w:lvl w:ilvl="4">
      <w:start w:val="1"/>
      <w:numFmt w:val="lowerLetter"/>
      <w:lvlText w:val="(%5)"/>
      <w:lvlJc w:val="left"/>
      <w:pPr>
        <w:ind w:left="3218" w:hanging="360"/>
      </w:pPr>
    </w:lvl>
    <w:lvl w:ilvl="5">
      <w:start w:val="1"/>
      <w:numFmt w:val="lowerRoman"/>
      <w:lvlText w:val="(%6)"/>
      <w:lvlJc w:val="left"/>
      <w:pPr>
        <w:ind w:left="3578" w:hanging="360"/>
      </w:pPr>
    </w:lvl>
    <w:lvl w:ilvl="6">
      <w:start w:val="1"/>
      <w:numFmt w:val="decimal"/>
      <w:lvlText w:val="%7."/>
      <w:lvlJc w:val="left"/>
      <w:pPr>
        <w:ind w:left="3938" w:hanging="360"/>
      </w:pPr>
    </w:lvl>
    <w:lvl w:ilvl="7">
      <w:start w:val="1"/>
      <w:numFmt w:val="lowerLetter"/>
      <w:lvlText w:val="%8."/>
      <w:lvlJc w:val="left"/>
      <w:pPr>
        <w:ind w:left="4298" w:hanging="360"/>
      </w:pPr>
    </w:lvl>
    <w:lvl w:ilvl="8">
      <w:start w:val="1"/>
      <w:numFmt w:val="lowerRoman"/>
      <w:lvlText w:val="%9."/>
      <w:lvlJc w:val="left"/>
      <w:pPr>
        <w:ind w:left="4658" w:hanging="360"/>
      </w:pPr>
    </w:lvl>
  </w:abstractNum>
  <w:abstractNum w:abstractNumId="15" w15:restartNumberingAfterBreak="0">
    <w:nsid w:val="64195387"/>
    <w:multiLevelType w:val="multilevel"/>
    <w:tmpl w:val="156ADA0C"/>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sz w:val="32"/>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5658E2"/>
    <w:multiLevelType w:val="multilevel"/>
    <w:tmpl w:val="156ADA0C"/>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sz w:val="32"/>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E63F30"/>
    <w:multiLevelType w:val="multilevel"/>
    <w:tmpl w:val="765AF660"/>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sz w:val="32"/>
      </w:rPr>
    </w:lvl>
    <w:lvl w:ilvl="2">
      <w:start w:val="1"/>
      <w:numFmt w:val="upp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9761667">
    <w:abstractNumId w:val="17"/>
  </w:num>
  <w:num w:numId="2" w16cid:durableId="1966153322">
    <w:abstractNumId w:val="1"/>
  </w:num>
  <w:num w:numId="3" w16cid:durableId="1892039298">
    <w:abstractNumId w:val="3"/>
  </w:num>
  <w:num w:numId="4" w16cid:durableId="1634216696">
    <w:abstractNumId w:val="0"/>
  </w:num>
  <w:num w:numId="5" w16cid:durableId="1013609808">
    <w:abstractNumId w:val="4"/>
  </w:num>
  <w:num w:numId="6" w16cid:durableId="1451825626">
    <w:abstractNumId w:val="5"/>
  </w:num>
  <w:num w:numId="7" w16cid:durableId="1665471294">
    <w:abstractNumId w:val="12"/>
  </w:num>
  <w:num w:numId="8" w16cid:durableId="1101560182">
    <w:abstractNumId w:val="6"/>
  </w:num>
  <w:num w:numId="9" w16cid:durableId="1719161544">
    <w:abstractNumId w:val="14"/>
  </w:num>
  <w:num w:numId="10" w16cid:durableId="100610251">
    <w:abstractNumId w:val="10"/>
  </w:num>
  <w:num w:numId="11" w16cid:durableId="1372536265">
    <w:abstractNumId w:val="8"/>
  </w:num>
  <w:num w:numId="12" w16cid:durableId="2001040730">
    <w:abstractNumId w:val="16"/>
  </w:num>
  <w:num w:numId="13" w16cid:durableId="647369198">
    <w:abstractNumId w:val="15"/>
  </w:num>
  <w:num w:numId="14" w16cid:durableId="677736334">
    <w:abstractNumId w:val="9"/>
  </w:num>
  <w:num w:numId="15" w16cid:durableId="1883126096">
    <w:abstractNumId w:val="2"/>
  </w:num>
  <w:num w:numId="16" w16cid:durableId="49690376">
    <w:abstractNumId w:val="11"/>
  </w:num>
  <w:num w:numId="17" w16cid:durableId="1337535185">
    <w:abstractNumId w:val="13"/>
  </w:num>
  <w:num w:numId="18" w16cid:durableId="122834639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yMjE3NjQ3NTa2MDBS0lEKTi0uzszPAykwqgUAX6ZjICwAAAA="/>
  </w:docVars>
  <w:rsids>
    <w:rsidRoot w:val="00373540"/>
    <w:rsid w:val="000009A3"/>
    <w:rsid w:val="00000FAB"/>
    <w:rsid w:val="000020F8"/>
    <w:rsid w:val="000026DE"/>
    <w:rsid w:val="0000359A"/>
    <w:rsid w:val="00004167"/>
    <w:rsid w:val="000068AE"/>
    <w:rsid w:val="00006E3A"/>
    <w:rsid w:val="00007082"/>
    <w:rsid w:val="000070BC"/>
    <w:rsid w:val="00010290"/>
    <w:rsid w:val="00010548"/>
    <w:rsid w:val="00010E31"/>
    <w:rsid w:val="0001184B"/>
    <w:rsid w:val="0001201A"/>
    <w:rsid w:val="00012217"/>
    <w:rsid w:val="000127CC"/>
    <w:rsid w:val="00012D69"/>
    <w:rsid w:val="00013F34"/>
    <w:rsid w:val="0001408A"/>
    <w:rsid w:val="000141CE"/>
    <w:rsid w:val="00014C6B"/>
    <w:rsid w:val="0001509B"/>
    <w:rsid w:val="00015B77"/>
    <w:rsid w:val="000168AB"/>
    <w:rsid w:val="00020AB1"/>
    <w:rsid w:val="00021196"/>
    <w:rsid w:val="0002220F"/>
    <w:rsid w:val="00024843"/>
    <w:rsid w:val="00025470"/>
    <w:rsid w:val="00025630"/>
    <w:rsid w:val="0002703C"/>
    <w:rsid w:val="0003067E"/>
    <w:rsid w:val="00032B46"/>
    <w:rsid w:val="0003318F"/>
    <w:rsid w:val="00033422"/>
    <w:rsid w:val="000338BD"/>
    <w:rsid w:val="000338C6"/>
    <w:rsid w:val="0003421D"/>
    <w:rsid w:val="000363E0"/>
    <w:rsid w:val="00036D72"/>
    <w:rsid w:val="000370AF"/>
    <w:rsid w:val="000374B0"/>
    <w:rsid w:val="00037803"/>
    <w:rsid w:val="00040181"/>
    <w:rsid w:val="00040DA4"/>
    <w:rsid w:val="00040FAB"/>
    <w:rsid w:val="0004129A"/>
    <w:rsid w:val="00041721"/>
    <w:rsid w:val="000420AA"/>
    <w:rsid w:val="00042388"/>
    <w:rsid w:val="00042402"/>
    <w:rsid w:val="0004271A"/>
    <w:rsid w:val="00042BE1"/>
    <w:rsid w:val="000431F4"/>
    <w:rsid w:val="0004363E"/>
    <w:rsid w:val="00043A56"/>
    <w:rsid w:val="00045822"/>
    <w:rsid w:val="00045B7C"/>
    <w:rsid w:val="00045EDC"/>
    <w:rsid w:val="000471BD"/>
    <w:rsid w:val="0004768C"/>
    <w:rsid w:val="00050234"/>
    <w:rsid w:val="0005072C"/>
    <w:rsid w:val="00051278"/>
    <w:rsid w:val="00051D63"/>
    <w:rsid w:val="00052411"/>
    <w:rsid w:val="00055452"/>
    <w:rsid w:val="00055574"/>
    <w:rsid w:val="00056276"/>
    <w:rsid w:val="00057285"/>
    <w:rsid w:val="00057B64"/>
    <w:rsid w:val="00061285"/>
    <w:rsid w:val="000612BA"/>
    <w:rsid w:val="0006144E"/>
    <w:rsid w:val="00061BB9"/>
    <w:rsid w:val="00061C94"/>
    <w:rsid w:val="0006237B"/>
    <w:rsid w:val="000658C5"/>
    <w:rsid w:val="00065D37"/>
    <w:rsid w:val="00065E07"/>
    <w:rsid w:val="0006607D"/>
    <w:rsid w:val="000661A1"/>
    <w:rsid w:val="000666C8"/>
    <w:rsid w:val="00066FD7"/>
    <w:rsid w:val="000671A3"/>
    <w:rsid w:val="00067D02"/>
    <w:rsid w:val="000713E2"/>
    <w:rsid w:val="00072343"/>
    <w:rsid w:val="00073221"/>
    <w:rsid w:val="000733D1"/>
    <w:rsid w:val="0007527A"/>
    <w:rsid w:val="000760E6"/>
    <w:rsid w:val="000768B5"/>
    <w:rsid w:val="00077475"/>
    <w:rsid w:val="000775BB"/>
    <w:rsid w:val="00080461"/>
    <w:rsid w:val="000806D1"/>
    <w:rsid w:val="000815F7"/>
    <w:rsid w:val="00081637"/>
    <w:rsid w:val="000817A5"/>
    <w:rsid w:val="000825A1"/>
    <w:rsid w:val="00082A5F"/>
    <w:rsid w:val="000833CB"/>
    <w:rsid w:val="00083FDF"/>
    <w:rsid w:val="00085038"/>
    <w:rsid w:val="00086DEA"/>
    <w:rsid w:val="00087E44"/>
    <w:rsid w:val="000912FD"/>
    <w:rsid w:val="00092BAE"/>
    <w:rsid w:val="000933CF"/>
    <w:rsid w:val="000936AC"/>
    <w:rsid w:val="00094CDB"/>
    <w:rsid w:val="00096341"/>
    <w:rsid w:val="00096A6D"/>
    <w:rsid w:val="00096E3B"/>
    <w:rsid w:val="000A0360"/>
    <w:rsid w:val="000A0DC0"/>
    <w:rsid w:val="000A0DC5"/>
    <w:rsid w:val="000A2346"/>
    <w:rsid w:val="000A3261"/>
    <w:rsid w:val="000A4840"/>
    <w:rsid w:val="000A7304"/>
    <w:rsid w:val="000A75AE"/>
    <w:rsid w:val="000A766D"/>
    <w:rsid w:val="000A7A41"/>
    <w:rsid w:val="000B0852"/>
    <w:rsid w:val="000B0A94"/>
    <w:rsid w:val="000B1933"/>
    <w:rsid w:val="000B1C5E"/>
    <w:rsid w:val="000B23A5"/>
    <w:rsid w:val="000B2C92"/>
    <w:rsid w:val="000B33AD"/>
    <w:rsid w:val="000B3D58"/>
    <w:rsid w:val="000B4A3C"/>
    <w:rsid w:val="000B4C90"/>
    <w:rsid w:val="000B51B4"/>
    <w:rsid w:val="000B5EA0"/>
    <w:rsid w:val="000C02F5"/>
    <w:rsid w:val="000C055C"/>
    <w:rsid w:val="000C0E81"/>
    <w:rsid w:val="000C104C"/>
    <w:rsid w:val="000C11C6"/>
    <w:rsid w:val="000C47B5"/>
    <w:rsid w:val="000C5A2B"/>
    <w:rsid w:val="000D058D"/>
    <w:rsid w:val="000D10D8"/>
    <w:rsid w:val="000D2579"/>
    <w:rsid w:val="000D281D"/>
    <w:rsid w:val="000D338D"/>
    <w:rsid w:val="000D48AF"/>
    <w:rsid w:val="000D4EDC"/>
    <w:rsid w:val="000D5F49"/>
    <w:rsid w:val="000D6A61"/>
    <w:rsid w:val="000D70B3"/>
    <w:rsid w:val="000D7B7C"/>
    <w:rsid w:val="000D7E1E"/>
    <w:rsid w:val="000E016B"/>
    <w:rsid w:val="000E1514"/>
    <w:rsid w:val="000E1D53"/>
    <w:rsid w:val="000E3C4C"/>
    <w:rsid w:val="000E46A1"/>
    <w:rsid w:val="000E5100"/>
    <w:rsid w:val="000E59E2"/>
    <w:rsid w:val="000E6908"/>
    <w:rsid w:val="000E76C6"/>
    <w:rsid w:val="000F0C4D"/>
    <w:rsid w:val="000F2C8F"/>
    <w:rsid w:val="000F34D7"/>
    <w:rsid w:val="000F4885"/>
    <w:rsid w:val="000F4A7F"/>
    <w:rsid w:val="000F59C9"/>
    <w:rsid w:val="000F727C"/>
    <w:rsid w:val="000F75B6"/>
    <w:rsid w:val="000F782A"/>
    <w:rsid w:val="000F79B8"/>
    <w:rsid w:val="0010008A"/>
    <w:rsid w:val="0010095E"/>
    <w:rsid w:val="001010B7"/>
    <w:rsid w:val="00103D9F"/>
    <w:rsid w:val="001049C9"/>
    <w:rsid w:val="00104D5D"/>
    <w:rsid w:val="00104D6F"/>
    <w:rsid w:val="00105323"/>
    <w:rsid w:val="00105B3B"/>
    <w:rsid w:val="001074C1"/>
    <w:rsid w:val="001075DF"/>
    <w:rsid w:val="00112376"/>
    <w:rsid w:val="00113096"/>
    <w:rsid w:val="00115250"/>
    <w:rsid w:val="001153F0"/>
    <w:rsid w:val="00116191"/>
    <w:rsid w:val="00116EBD"/>
    <w:rsid w:val="001171DB"/>
    <w:rsid w:val="00117320"/>
    <w:rsid w:val="001176ED"/>
    <w:rsid w:val="001179A0"/>
    <w:rsid w:val="00117D1F"/>
    <w:rsid w:val="001202ED"/>
    <w:rsid w:val="0012044A"/>
    <w:rsid w:val="00120648"/>
    <w:rsid w:val="00121130"/>
    <w:rsid w:val="00121D5C"/>
    <w:rsid w:val="00122B95"/>
    <w:rsid w:val="00124E2D"/>
    <w:rsid w:val="00125278"/>
    <w:rsid w:val="0012589B"/>
    <w:rsid w:val="00125DFC"/>
    <w:rsid w:val="00126561"/>
    <w:rsid w:val="00127B30"/>
    <w:rsid w:val="00127E54"/>
    <w:rsid w:val="001306FA"/>
    <w:rsid w:val="001308FF"/>
    <w:rsid w:val="0013257B"/>
    <w:rsid w:val="00132AF9"/>
    <w:rsid w:val="00132C9F"/>
    <w:rsid w:val="001333C6"/>
    <w:rsid w:val="0013462F"/>
    <w:rsid w:val="001353AB"/>
    <w:rsid w:val="001378B6"/>
    <w:rsid w:val="00137AE7"/>
    <w:rsid w:val="00140CE0"/>
    <w:rsid w:val="00141BA6"/>
    <w:rsid w:val="00141D03"/>
    <w:rsid w:val="001433D3"/>
    <w:rsid w:val="0014374D"/>
    <w:rsid w:val="001439A8"/>
    <w:rsid w:val="00144262"/>
    <w:rsid w:val="00145D52"/>
    <w:rsid w:val="00147C50"/>
    <w:rsid w:val="00150201"/>
    <w:rsid w:val="00151D55"/>
    <w:rsid w:val="001522E4"/>
    <w:rsid w:val="00152D1B"/>
    <w:rsid w:val="001535E5"/>
    <w:rsid w:val="00153ACF"/>
    <w:rsid w:val="00153CA4"/>
    <w:rsid w:val="00156BF0"/>
    <w:rsid w:val="00157600"/>
    <w:rsid w:val="00161A81"/>
    <w:rsid w:val="00162123"/>
    <w:rsid w:val="00163709"/>
    <w:rsid w:val="00164856"/>
    <w:rsid w:val="0016544B"/>
    <w:rsid w:val="00165DC0"/>
    <w:rsid w:val="001663BD"/>
    <w:rsid w:val="001669C7"/>
    <w:rsid w:val="00166FAC"/>
    <w:rsid w:val="00167348"/>
    <w:rsid w:val="00171B5E"/>
    <w:rsid w:val="00172299"/>
    <w:rsid w:val="00172687"/>
    <w:rsid w:val="001731A1"/>
    <w:rsid w:val="00173C18"/>
    <w:rsid w:val="00174D40"/>
    <w:rsid w:val="00176DB3"/>
    <w:rsid w:val="00176F8C"/>
    <w:rsid w:val="00177257"/>
    <w:rsid w:val="0017732B"/>
    <w:rsid w:val="001816F9"/>
    <w:rsid w:val="0018342D"/>
    <w:rsid w:val="00184F6B"/>
    <w:rsid w:val="00185294"/>
    <w:rsid w:val="0018606C"/>
    <w:rsid w:val="00186A78"/>
    <w:rsid w:val="00187EE9"/>
    <w:rsid w:val="001908BF"/>
    <w:rsid w:val="00190D73"/>
    <w:rsid w:val="001915D9"/>
    <w:rsid w:val="00192F2E"/>
    <w:rsid w:val="00192F69"/>
    <w:rsid w:val="00194B07"/>
    <w:rsid w:val="00194BBB"/>
    <w:rsid w:val="0019756A"/>
    <w:rsid w:val="0019756D"/>
    <w:rsid w:val="00197960"/>
    <w:rsid w:val="001A0633"/>
    <w:rsid w:val="001A0A60"/>
    <w:rsid w:val="001A126D"/>
    <w:rsid w:val="001A191D"/>
    <w:rsid w:val="001A1DEB"/>
    <w:rsid w:val="001A21B6"/>
    <w:rsid w:val="001A4608"/>
    <w:rsid w:val="001A4723"/>
    <w:rsid w:val="001A4CC3"/>
    <w:rsid w:val="001A4E8E"/>
    <w:rsid w:val="001A5305"/>
    <w:rsid w:val="001A598A"/>
    <w:rsid w:val="001A5F79"/>
    <w:rsid w:val="001A71E5"/>
    <w:rsid w:val="001A7763"/>
    <w:rsid w:val="001A780F"/>
    <w:rsid w:val="001B1AE6"/>
    <w:rsid w:val="001B1D5A"/>
    <w:rsid w:val="001B2800"/>
    <w:rsid w:val="001B2913"/>
    <w:rsid w:val="001B2BEE"/>
    <w:rsid w:val="001B5744"/>
    <w:rsid w:val="001B645D"/>
    <w:rsid w:val="001B674C"/>
    <w:rsid w:val="001B6A9B"/>
    <w:rsid w:val="001B74FD"/>
    <w:rsid w:val="001B78BD"/>
    <w:rsid w:val="001B7966"/>
    <w:rsid w:val="001B7A44"/>
    <w:rsid w:val="001C0E57"/>
    <w:rsid w:val="001C10E8"/>
    <w:rsid w:val="001C1A3E"/>
    <w:rsid w:val="001C1F1B"/>
    <w:rsid w:val="001C1FDA"/>
    <w:rsid w:val="001C25F4"/>
    <w:rsid w:val="001C3249"/>
    <w:rsid w:val="001C53E1"/>
    <w:rsid w:val="001C630D"/>
    <w:rsid w:val="001C6C3F"/>
    <w:rsid w:val="001C7A1F"/>
    <w:rsid w:val="001C7FCF"/>
    <w:rsid w:val="001D018D"/>
    <w:rsid w:val="001D0444"/>
    <w:rsid w:val="001D085D"/>
    <w:rsid w:val="001D0B22"/>
    <w:rsid w:val="001D277E"/>
    <w:rsid w:val="001D2946"/>
    <w:rsid w:val="001D29B3"/>
    <w:rsid w:val="001D3458"/>
    <w:rsid w:val="001D54CF"/>
    <w:rsid w:val="001D5948"/>
    <w:rsid w:val="001D6B16"/>
    <w:rsid w:val="001D6FBB"/>
    <w:rsid w:val="001D71D1"/>
    <w:rsid w:val="001D7757"/>
    <w:rsid w:val="001D7868"/>
    <w:rsid w:val="001E0236"/>
    <w:rsid w:val="001E1387"/>
    <w:rsid w:val="001E2560"/>
    <w:rsid w:val="001E3103"/>
    <w:rsid w:val="001E3106"/>
    <w:rsid w:val="001E4B08"/>
    <w:rsid w:val="001E575F"/>
    <w:rsid w:val="001E5B67"/>
    <w:rsid w:val="001E6D11"/>
    <w:rsid w:val="001E70DA"/>
    <w:rsid w:val="001F10BC"/>
    <w:rsid w:val="001F1181"/>
    <w:rsid w:val="001F4E43"/>
    <w:rsid w:val="001F54F7"/>
    <w:rsid w:val="001F57D3"/>
    <w:rsid w:val="001F5D01"/>
    <w:rsid w:val="001F7449"/>
    <w:rsid w:val="001F77A2"/>
    <w:rsid w:val="001F7FC2"/>
    <w:rsid w:val="00200140"/>
    <w:rsid w:val="00200D07"/>
    <w:rsid w:val="002010AE"/>
    <w:rsid w:val="00201BA4"/>
    <w:rsid w:val="00201ECF"/>
    <w:rsid w:val="00202990"/>
    <w:rsid w:val="002030FE"/>
    <w:rsid w:val="002060B9"/>
    <w:rsid w:val="00206610"/>
    <w:rsid w:val="00206855"/>
    <w:rsid w:val="0020752C"/>
    <w:rsid w:val="00207616"/>
    <w:rsid w:val="00210351"/>
    <w:rsid w:val="00211E1B"/>
    <w:rsid w:val="00213003"/>
    <w:rsid w:val="0021585A"/>
    <w:rsid w:val="002169BE"/>
    <w:rsid w:val="00216B43"/>
    <w:rsid w:val="00216CAB"/>
    <w:rsid w:val="00216FED"/>
    <w:rsid w:val="0021703D"/>
    <w:rsid w:val="00217427"/>
    <w:rsid w:val="00217829"/>
    <w:rsid w:val="00217EA9"/>
    <w:rsid w:val="00220412"/>
    <w:rsid w:val="00220649"/>
    <w:rsid w:val="00220FFE"/>
    <w:rsid w:val="00221A30"/>
    <w:rsid w:val="00221FA7"/>
    <w:rsid w:val="002227A2"/>
    <w:rsid w:val="00222B87"/>
    <w:rsid w:val="002233FD"/>
    <w:rsid w:val="00224E73"/>
    <w:rsid w:val="002257E0"/>
    <w:rsid w:val="00225FDB"/>
    <w:rsid w:val="00226F4B"/>
    <w:rsid w:val="00227B19"/>
    <w:rsid w:val="002301B5"/>
    <w:rsid w:val="0023140B"/>
    <w:rsid w:val="002315F1"/>
    <w:rsid w:val="00231EF3"/>
    <w:rsid w:val="0023251E"/>
    <w:rsid w:val="00232613"/>
    <w:rsid w:val="00232907"/>
    <w:rsid w:val="002333FD"/>
    <w:rsid w:val="00233922"/>
    <w:rsid w:val="00233ABD"/>
    <w:rsid w:val="0023455D"/>
    <w:rsid w:val="00234879"/>
    <w:rsid w:val="00234E4B"/>
    <w:rsid w:val="00235A0D"/>
    <w:rsid w:val="00236384"/>
    <w:rsid w:val="002365B4"/>
    <w:rsid w:val="00236980"/>
    <w:rsid w:val="00237DA1"/>
    <w:rsid w:val="00240922"/>
    <w:rsid w:val="00241B39"/>
    <w:rsid w:val="00241E51"/>
    <w:rsid w:val="00241E77"/>
    <w:rsid w:val="002420BD"/>
    <w:rsid w:val="0024229E"/>
    <w:rsid w:val="002422C6"/>
    <w:rsid w:val="00242FD6"/>
    <w:rsid w:val="00243A90"/>
    <w:rsid w:val="002456EF"/>
    <w:rsid w:val="00245CEE"/>
    <w:rsid w:val="002463AB"/>
    <w:rsid w:val="002466B5"/>
    <w:rsid w:val="00246922"/>
    <w:rsid w:val="0024737E"/>
    <w:rsid w:val="0025050B"/>
    <w:rsid w:val="00250695"/>
    <w:rsid w:val="00254CA4"/>
    <w:rsid w:val="002557E2"/>
    <w:rsid w:val="00255B5F"/>
    <w:rsid w:val="00255EEB"/>
    <w:rsid w:val="002576FB"/>
    <w:rsid w:val="00257DE9"/>
    <w:rsid w:val="00257F79"/>
    <w:rsid w:val="0026018F"/>
    <w:rsid w:val="002603AD"/>
    <w:rsid w:val="00260705"/>
    <w:rsid w:val="00261EE2"/>
    <w:rsid w:val="00261F27"/>
    <w:rsid w:val="00263F30"/>
    <w:rsid w:val="0026498F"/>
    <w:rsid w:val="002655AF"/>
    <w:rsid w:val="00265C21"/>
    <w:rsid w:val="00266755"/>
    <w:rsid w:val="0026707C"/>
    <w:rsid w:val="00267943"/>
    <w:rsid w:val="00267CF4"/>
    <w:rsid w:val="00267F5D"/>
    <w:rsid w:val="00270D4C"/>
    <w:rsid w:val="002713FC"/>
    <w:rsid w:val="002735A8"/>
    <w:rsid w:val="0027360B"/>
    <w:rsid w:val="00273D8D"/>
    <w:rsid w:val="00274B58"/>
    <w:rsid w:val="00275E70"/>
    <w:rsid w:val="0027760B"/>
    <w:rsid w:val="00277823"/>
    <w:rsid w:val="002804AD"/>
    <w:rsid w:val="00280D55"/>
    <w:rsid w:val="00281144"/>
    <w:rsid w:val="002830A4"/>
    <w:rsid w:val="002832D8"/>
    <w:rsid w:val="00283E73"/>
    <w:rsid w:val="00284DD0"/>
    <w:rsid w:val="0028674E"/>
    <w:rsid w:val="00286DD7"/>
    <w:rsid w:val="00290168"/>
    <w:rsid w:val="00290BF1"/>
    <w:rsid w:val="00290E9E"/>
    <w:rsid w:val="0029145C"/>
    <w:rsid w:val="00291706"/>
    <w:rsid w:val="00292BE7"/>
    <w:rsid w:val="00292CB8"/>
    <w:rsid w:val="00293F85"/>
    <w:rsid w:val="00296703"/>
    <w:rsid w:val="00297830"/>
    <w:rsid w:val="002A0C54"/>
    <w:rsid w:val="002A0DA3"/>
    <w:rsid w:val="002A32D8"/>
    <w:rsid w:val="002A38CE"/>
    <w:rsid w:val="002A3B00"/>
    <w:rsid w:val="002A7B53"/>
    <w:rsid w:val="002B0A00"/>
    <w:rsid w:val="002B0A4C"/>
    <w:rsid w:val="002B0B33"/>
    <w:rsid w:val="002B19F5"/>
    <w:rsid w:val="002B1B74"/>
    <w:rsid w:val="002B245E"/>
    <w:rsid w:val="002B3502"/>
    <w:rsid w:val="002B3A05"/>
    <w:rsid w:val="002B3B88"/>
    <w:rsid w:val="002B544C"/>
    <w:rsid w:val="002B5450"/>
    <w:rsid w:val="002B6AAA"/>
    <w:rsid w:val="002B6CB9"/>
    <w:rsid w:val="002B71C5"/>
    <w:rsid w:val="002B7367"/>
    <w:rsid w:val="002C02A8"/>
    <w:rsid w:val="002C16D4"/>
    <w:rsid w:val="002C19B2"/>
    <w:rsid w:val="002C20D6"/>
    <w:rsid w:val="002C28CC"/>
    <w:rsid w:val="002C33E1"/>
    <w:rsid w:val="002C3776"/>
    <w:rsid w:val="002C4705"/>
    <w:rsid w:val="002C4776"/>
    <w:rsid w:val="002C47F2"/>
    <w:rsid w:val="002C4ED5"/>
    <w:rsid w:val="002C6A29"/>
    <w:rsid w:val="002C6BAF"/>
    <w:rsid w:val="002D01D3"/>
    <w:rsid w:val="002D08C4"/>
    <w:rsid w:val="002D25A0"/>
    <w:rsid w:val="002D295C"/>
    <w:rsid w:val="002D36C5"/>
    <w:rsid w:val="002D3DF4"/>
    <w:rsid w:val="002D4647"/>
    <w:rsid w:val="002D5372"/>
    <w:rsid w:val="002D56AC"/>
    <w:rsid w:val="002D5CEA"/>
    <w:rsid w:val="002D6AA0"/>
    <w:rsid w:val="002D6D8D"/>
    <w:rsid w:val="002D7FCB"/>
    <w:rsid w:val="002E11ED"/>
    <w:rsid w:val="002E179C"/>
    <w:rsid w:val="002E4570"/>
    <w:rsid w:val="002E57C3"/>
    <w:rsid w:val="002E6073"/>
    <w:rsid w:val="002E65A6"/>
    <w:rsid w:val="002E6AAD"/>
    <w:rsid w:val="002E717E"/>
    <w:rsid w:val="002E7EF7"/>
    <w:rsid w:val="002F0AE1"/>
    <w:rsid w:val="002F1C5C"/>
    <w:rsid w:val="002F1F50"/>
    <w:rsid w:val="002F2CF5"/>
    <w:rsid w:val="002F3266"/>
    <w:rsid w:val="002F40FE"/>
    <w:rsid w:val="002F5766"/>
    <w:rsid w:val="002F59BF"/>
    <w:rsid w:val="002F643F"/>
    <w:rsid w:val="002F6478"/>
    <w:rsid w:val="002F6A3A"/>
    <w:rsid w:val="0030031B"/>
    <w:rsid w:val="0030036A"/>
    <w:rsid w:val="00300AA8"/>
    <w:rsid w:val="00301D74"/>
    <w:rsid w:val="00302424"/>
    <w:rsid w:val="00304ED5"/>
    <w:rsid w:val="0030523E"/>
    <w:rsid w:val="00306CDB"/>
    <w:rsid w:val="003070BB"/>
    <w:rsid w:val="00307999"/>
    <w:rsid w:val="00311C46"/>
    <w:rsid w:val="00313792"/>
    <w:rsid w:val="00314332"/>
    <w:rsid w:val="00315316"/>
    <w:rsid w:val="00315A28"/>
    <w:rsid w:val="00315F33"/>
    <w:rsid w:val="00316054"/>
    <w:rsid w:val="00316646"/>
    <w:rsid w:val="00316B5E"/>
    <w:rsid w:val="00316CDA"/>
    <w:rsid w:val="00316DFC"/>
    <w:rsid w:val="0032014E"/>
    <w:rsid w:val="00320997"/>
    <w:rsid w:val="00321DAF"/>
    <w:rsid w:val="00323036"/>
    <w:rsid w:val="003233AD"/>
    <w:rsid w:val="003234C3"/>
    <w:rsid w:val="00323594"/>
    <w:rsid w:val="003235B0"/>
    <w:rsid w:val="003244C8"/>
    <w:rsid w:val="0032451B"/>
    <w:rsid w:val="00325460"/>
    <w:rsid w:val="00326148"/>
    <w:rsid w:val="00326153"/>
    <w:rsid w:val="003267F2"/>
    <w:rsid w:val="003274D7"/>
    <w:rsid w:val="00327636"/>
    <w:rsid w:val="00330887"/>
    <w:rsid w:val="003308E6"/>
    <w:rsid w:val="0033295D"/>
    <w:rsid w:val="00333952"/>
    <w:rsid w:val="003343FD"/>
    <w:rsid w:val="00334B01"/>
    <w:rsid w:val="003351C4"/>
    <w:rsid w:val="00335FB0"/>
    <w:rsid w:val="003368DB"/>
    <w:rsid w:val="003368E2"/>
    <w:rsid w:val="0033718B"/>
    <w:rsid w:val="0034028C"/>
    <w:rsid w:val="00340826"/>
    <w:rsid w:val="00342CDB"/>
    <w:rsid w:val="00343177"/>
    <w:rsid w:val="00343AAD"/>
    <w:rsid w:val="00345654"/>
    <w:rsid w:val="003459B5"/>
    <w:rsid w:val="00346789"/>
    <w:rsid w:val="00346C8D"/>
    <w:rsid w:val="00350220"/>
    <w:rsid w:val="00350403"/>
    <w:rsid w:val="003506CC"/>
    <w:rsid w:val="003514E1"/>
    <w:rsid w:val="00352081"/>
    <w:rsid w:val="00352607"/>
    <w:rsid w:val="0035263A"/>
    <w:rsid w:val="003538EB"/>
    <w:rsid w:val="0035591F"/>
    <w:rsid w:val="003565C4"/>
    <w:rsid w:val="00357EA6"/>
    <w:rsid w:val="003610AF"/>
    <w:rsid w:val="003613FB"/>
    <w:rsid w:val="003618AD"/>
    <w:rsid w:val="00361F59"/>
    <w:rsid w:val="0036358E"/>
    <w:rsid w:val="0036362D"/>
    <w:rsid w:val="00365783"/>
    <w:rsid w:val="003658A1"/>
    <w:rsid w:val="00365D1B"/>
    <w:rsid w:val="00366FF3"/>
    <w:rsid w:val="00367D3C"/>
    <w:rsid w:val="00370A46"/>
    <w:rsid w:val="00370B4E"/>
    <w:rsid w:val="00370BDD"/>
    <w:rsid w:val="0037109C"/>
    <w:rsid w:val="003713E7"/>
    <w:rsid w:val="00372BFF"/>
    <w:rsid w:val="003731BD"/>
    <w:rsid w:val="00373540"/>
    <w:rsid w:val="003738B1"/>
    <w:rsid w:val="00373E21"/>
    <w:rsid w:val="003740C1"/>
    <w:rsid w:val="003750DE"/>
    <w:rsid w:val="0037535B"/>
    <w:rsid w:val="00375678"/>
    <w:rsid w:val="003761D6"/>
    <w:rsid w:val="003766F7"/>
    <w:rsid w:val="00376896"/>
    <w:rsid w:val="00376F17"/>
    <w:rsid w:val="00380B87"/>
    <w:rsid w:val="00381FE6"/>
    <w:rsid w:val="0038269F"/>
    <w:rsid w:val="00382744"/>
    <w:rsid w:val="003837D3"/>
    <w:rsid w:val="00383B47"/>
    <w:rsid w:val="00386999"/>
    <w:rsid w:val="00387B01"/>
    <w:rsid w:val="003906EB"/>
    <w:rsid w:val="00391545"/>
    <w:rsid w:val="003916E1"/>
    <w:rsid w:val="00391A6F"/>
    <w:rsid w:val="00392242"/>
    <w:rsid w:val="00392B1D"/>
    <w:rsid w:val="003934A4"/>
    <w:rsid w:val="00393620"/>
    <w:rsid w:val="00393A1E"/>
    <w:rsid w:val="003952E5"/>
    <w:rsid w:val="00395344"/>
    <w:rsid w:val="003958D8"/>
    <w:rsid w:val="00396196"/>
    <w:rsid w:val="00397567"/>
    <w:rsid w:val="00397DE6"/>
    <w:rsid w:val="003A161D"/>
    <w:rsid w:val="003A1884"/>
    <w:rsid w:val="003A21DA"/>
    <w:rsid w:val="003A425B"/>
    <w:rsid w:val="003A430E"/>
    <w:rsid w:val="003A4603"/>
    <w:rsid w:val="003A514C"/>
    <w:rsid w:val="003A7C7D"/>
    <w:rsid w:val="003B00DB"/>
    <w:rsid w:val="003B1498"/>
    <w:rsid w:val="003B15D8"/>
    <w:rsid w:val="003B191A"/>
    <w:rsid w:val="003B247E"/>
    <w:rsid w:val="003B34FA"/>
    <w:rsid w:val="003B417B"/>
    <w:rsid w:val="003B45B9"/>
    <w:rsid w:val="003B4774"/>
    <w:rsid w:val="003B7000"/>
    <w:rsid w:val="003C002E"/>
    <w:rsid w:val="003C0CF3"/>
    <w:rsid w:val="003C1124"/>
    <w:rsid w:val="003C127B"/>
    <w:rsid w:val="003C1A7E"/>
    <w:rsid w:val="003C5252"/>
    <w:rsid w:val="003C534E"/>
    <w:rsid w:val="003C559C"/>
    <w:rsid w:val="003C5F91"/>
    <w:rsid w:val="003C63A3"/>
    <w:rsid w:val="003D0FCC"/>
    <w:rsid w:val="003D17CC"/>
    <w:rsid w:val="003D1B5F"/>
    <w:rsid w:val="003D1B74"/>
    <w:rsid w:val="003D3644"/>
    <w:rsid w:val="003D3A14"/>
    <w:rsid w:val="003D4178"/>
    <w:rsid w:val="003D4DB6"/>
    <w:rsid w:val="003D508B"/>
    <w:rsid w:val="003D55CB"/>
    <w:rsid w:val="003D72E9"/>
    <w:rsid w:val="003D7919"/>
    <w:rsid w:val="003E00AB"/>
    <w:rsid w:val="003E02F9"/>
    <w:rsid w:val="003E0D77"/>
    <w:rsid w:val="003E143D"/>
    <w:rsid w:val="003E169F"/>
    <w:rsid w:val="003E1C7F"/>
    <w:rsid w:val="003E23EA"/>
    <w:rsid w:val="003E2BCB"/>
    <w:rsid w:val="003E34BC"/>
    <w:rsid w:val="003E34EF"/>
    <w:rsid w:val="003E3B07"/>
    <w:rsid w:val="003E3D6D"/>
    <w:rsid w:val="003E48D8"/>
    <w:rsid w:val="003E4FA0"/>
    <w:rsid w:val="003E5F84"/>
    <w:rsid w:val="003E65E6"/>
    <w:rsid w:val="003E65EC"/>
    <w:rsid w:val="003E68A8"/>
    <w:rsid w:val="003E6922"/>
    <w:rsid w:val="003E6FC2"/>
    <w:rsid w:val="003E7C1F"/>
    <w:rsid w:val="003F1D5A"/>
    <w:rsid w:val="003F3D8F"/>
    <w:rsid w:val="003F77F0"/>
    <w:rsid w:val="0040081A"/>
    <w:rsid w:val="00401554"/>
    <w:rsid w:val="004023CE"/>
    <w:rsid w:val="00402DDC"/>
    <w:rsid w:val="00403139"/>
    <w:rsid w:val="00403E12"/>
    <w:rsid w:val="00404042"/>
    <w:rsid w:val="004044DB"/>
    <w:rsid w:val="0040676E"/>
    <w:rsid w:val="004067EB"/>
    <w:rsid w:val="004100C5"/>
    <w:rsid w:val="00410A4C"/>
    <w:rsid w:val="004116E2"/>
    <w:rsid w:val="004118BF"/>
    <w:rsid w:val="00412615"/>
    <w:rsid w:val="00412E04"/>
    <w:rsid w:val="00413395"/>
    <w:rsid w:val="00414CAA"/>
    <w:rsid w:val="00415C9F"/>
    <w:rsid w:val="00415DBF"/>
    <w:rsid w:val="00415E6B"/>
    <w:rsid w:val="0041715B"/>
    <w:rsid w:val="0041781D"/>
    <w:rsid w:val="00417A34"/>
    <w:rsid w:val="00420622"/>
    <w:rsid w:val="00420F27"/>
    <w:rsid w:val="0042188D"/>
    <w:rsid w:val="00421914"/>
    <w:rsid w:val="00421B51"/>
    <w:rsid w:val="00425467"/>
    <w:rsid w:val="004301BF"/>
    <w:rsid w:val="00430838"/>
    <w:rsid w:val="00430A6E"/>
    <w:rsid w:val="00431DBA"/>
    <w:rsid w:val="00432878"/>
    <w:rsid w:val="00434288"/>
    <w:rsid w:val="00436D47"/>
    <w:rsid w:val="00437132"/>
    <w:rsid w:val="004374B2"/>
    <w:rsid w:val="0043767F"/>
    <w:rsid w:val="0044015C"/>
    <w:rsid w:val="004417F3"/>
    <w:rsid w:val="00441C6C"/>
    <w:rsid w:val="00442418"/>
    <w:rsid w:val="004427F8"/>
    <w:rsid w:val="004436A5"/>
    <w:rsid w:val="00443731"/>
    <w:rsid w:val="0044383E"/>
    <w:rsid w:val="0044412B"/>
    <w:rsid w:val="00445062"/>
    <w:rsid w:val="004466ED"/>
    <w:rsid w:val="00447FDA"/>
    <w:rsid w:val="0045100F"/>
    <w:rsid w:val="004511C4"/>
    <w:rsid w:val="004521A9"/>
    <w:rsid w:val="00452C33"/>
    <w:rsid w:val="0045324E"/>
    <w:rsid w:val="00455109"/>
    <w:rsid w:val="004562A8"/>
    <w:rsid w:val="00457296"/>
    <w:rsid w:val="004574A3"/>
    <w:rsid w:val="004579F7"/>
    <w:rsid w:val="00462AF4"/>
    <w:rsid w:val="004630BB"/>
    <w:rsid w:val="00463298"/>
    <w:rsid w:val="0046359A"/>
    <w:rsid w:val="00463B2E"/>
    <w:rsid w:val="00464FDF"/>
    <w:rsid w:val="004666F2"/>
    <w:rsid w:val="0047027C"/>
    <w:rsid w:val="00470576"/>
    <w:rsid w:val="00470A62"/>
    <w:rsid w:val="00470A75"/>
    <w:rsid w:val="00470B9D"/>
    <w:rsid w:val="00472EF3"/>
    <w:rsid w:val="00473B6A"/>
    <w:rsid w:val="00474D8B"/>
    <w:rsid w:val="00480701"/>
    <w:rsid w:val="00481DF7"/>
    <w:rsid w:val="0048582F"/>
    <w:rsid w:val="00485834"/>
    <w:rsid w:val="00485FB0"/>
    <w:rsid w:val="00486C84"/>
    <w:rsid w:val="00487EC1"/>
    <w:rsid w:val="00492EA9"/>
    <w:rsid w:val="00492F18"/>
    <w:rsid w:val="00493576"/>
    <w:rsid w:val="004947B8"/>
    <w:rsid w:val="00494B82"/>
    <w:rsid w:val="00495B2E"/>
    <w:rsid w:val="00496610"/>
    <w:rsid w:val="004A0D42"/>
    <w:rsid w:val="004A0FD2"/>
    <w:rsid w:val="004A1996"/>
    <w:rsid w:val="004A1E66"/>
    <w:rsid w:val="004A1E9D"/>
    <w:rsid w:val="004A20ED"/>
    <w:rsid w:val="004A23B8"/>
    <w:rsid w:val="004A24ED"/>
    <w:rsid w:val="004A38C9"/>
    <w:rsid w:val="004A4E54"/>
    <w:rsid w:val="004A5699"/>
    <w:rsid w:val="004A5F3D"/>
    <w:rsid w:val="004A6637"/>
    <w:rsid w:val="004A7023"/>
    <w:rsid w:val="004A7096"/>
    <w:rsid w:val="004A779D"/>
    <w:rsid w:val="004B0631"/>
    <w:rsid w:val="004B357D"/>
    <w:rsid w:val="004B3A31"/>
    <w:rsid w:val="004B496C"/>
    <w:rsid w:val="004B5033"/>
    <w:rsid w:val="004B58BA"/>
    <w:rsid w:val="004B7E46"/>
    <w:rsid w:val="004B7F07"/>
    <w:rsid w:val="004C0156"/>
    <w:rsid w:val="004C0890"/>
    <w:rsid w:val="004C0DE7"/>
    <w:rsid w:val="004C16FF"/>
    <w:rsid w:val="004C2881"/>
    <w:rsid w:val="004C348A"/>
    <w:rsid w:val="004C35B6"/>
    <w:rsid w:val="004C3DF5"/>
    <w:rsid w:val="004C3F70"/>
    <w:rsid w:val="004C6691"/>
    <w:rsid w:val="004C757C"/>
    <w:rsid w:val="004D002C"/>
    <w:rsid w:val="004D082D"/>
    <w:rsid w:val="004D087E"/>
    <w:rsid w:val="004D0B7D"/>
    <w:rsid w:val="004D162C"/>
    <w:rsid w:val="004D2420"/>
    <w:rsid w:val="004D3503"/>
    <w:rsid w:val="004D369B"/>
    <w:rsid w:val="004D36DB"/>
    <w:rsid w:val="004D3D43"/>
    <w:rsid w:val="004D6774"/>
    <w:rsid w:val="004D7B68"/>
    <w:rsid w:val="004D7C74"/>
    <w:rsid w:val="004E0857"/>
    <w:rsid w:val="004E153C"/>
    <w:rsid w:val="004E15CC"/>
    <w:rsid w:val="004E1EAC"/>
    <w:rsid w:val="004E2C7B"/>
    <w:rsid w:val="004E3054"/>
    <w:rsid w:val="004E31A2"/>
    <w:rsid w:val="004E36F5"/>
    <w:rsid w:val="004E3CAB"/>
    <w:rsid w:val="004E53DE"/>
    <w:rsid w:val="004E6921"/>
    <w:rsid w:val="004F149C"/>
    <w:rsid w:val="004F202B"/>
    <w:rsid w:val="004F3003"/>
    <w:rsid w:val="004F311C"/>
    <w:rsid w:val="004F321E"/>
    <w:rsid w:val="004F322A"/>
    <w:rsid w:val="004F33A2"/>
    <w:rsid w:val="004F3D01"/>
    <w:rsid w:val="004F424E"/>
    <w:rsid w:val="004F451D"/>
    <w:rsid w:val="004F61BA"/>
    <w:rsid w:val="00500712"/>
    <w:rsid w:val="005007D2"/>
    <w:rsid w:val="005008D6"/>
    <w:rsid w:val="00500F16"/>
    <w:rsid w:val="00500FA5"/>
    <w:rsid w:val="0050176B"/>
    <w:rsid w:val="005029BF"/>
    <w:rsid w:val="00502A1B"/>
    <w:rsid w:val="005033BD"/>
    <w:rsid w:val="00504849"/>
    <w:rsid w:val="00505E66"/>
    <w:rsid w:val="00506A20"/>
    <w:rsid w:val="005073A1"/>
    <w:rsid w:val="00507AD6"/>
    <w:rsid w:val="00507CCD"/>
    <w:rsid w:val="00507F90"/>
    <w:rsid w:val="00507FE0"/>
    <w:rsid w:val="005115B7"/>
    <w:rsid w:val="005122D0"/>
    <w:rsid w:val="0051299D"/>
    <w:rsid w:val="00513782"/>
    <w:rsid w:val="00514732"/>
    <w:rsid w:val="00514B24"/>
    <w:rsid w:val="0051616C"/>
    <w:rsid w:val="005179A4"/>
    <w:rsid w:val="005201B4"/>
    <w:rsid w:val="00520256"/>
    <w:rsid w:val="00520B68"/>
    <w:rsid w:val="0052212C"/>
    <w:rsid w:val="00523AA7"/>
    <w:rsid w:val="00523BB2"/>
    <w:rsid w:val="00524AEC"/>
    <w:rsid w:val="00525596"/>
    <w:rsid w:val="005309B0"/>
    <w:rsid w:val="005310E8"/>
    <w:rsid w:val="00531165"/>
    <w:rsid w:val="0053166E"/>
    <w:rsid w:val="00534498"/>
    <w:rsid w:val="0053469D"/>
    <w:rsid w:val="005352B4"/>
    <w:rsid w:val="005354BF"/>
    <w:rsid w:val="00535AB0"/>
    <w:rsid w:val="00536899"/>
    <w:rsid w:val="0053703A"/>
    <w:rsid w:val="0054006A"/>
    <w:rsid w:val="00540488"/>
    <w:rsid w:val="005407EE"/>
    <w:rsid w:val="00541EDC"/>
    <w:rsid w:val="00542388"/>
    <w:rsid w:val="0054305A"/>
    <w:rsid w:val="005431E8"/>
    <w:rsid w:val="00544AB1"/>
    <w:rsid w:val="00544FA8"/>
    <w:rsid w:val="005458F6"/>
    <w:rsid w:val="00545EC9"/>
    <w:rsid w:val="00546019"/>
    <w:rsid w:val="005460F8"/>
    <w:rsid w:val="005463E9"/>
    <w:rsid w:val="00546A4A"/>
    <w:rsid w:val="00547228"/>
    <w:rsid w:val="00550F15"/>
    <w:rsid w:val="005532D1"/>
    <w:rsid w:val="00555A96"/>
    <w:rsid w:val="0055628C"/>
    <w:rsid w:val="00557D0D"/>
    <w:rsid w:val="00560D77"/>
    <w:rsid w:val="0056174F"/>
    <w:rsid w:val="00561B1A"/>
    <w:rsid w:val="005631B9"/>
    <w:rsid w:val="00564996"/>
    <w:rsid w:val="00564A59"/>
    <w:rsid w:val="005651DF"/>
    <w:rsid w:val="00565CF1"/>
    <w:rsid w:val="005662BE"/>
    <w:rsid w:val="0056676B"/>
    <w:rsid w:val="005669C0"/>
    <w:rsid w:val="00567428"/>
    <w:rsid w:val="005719A5"/>
    <w:rsid w:val="005736F2"/>
    <w:rsid w:val="00573CDA"/>
    <w:rsid w:val="00575505"/>
    <w:rsid w:val="00576401"/>
    <w:rsid w:val="005768F9"/>
    <w:rsid w:val="00577D42"/>
    <w:rsid w:val="00580BCC"/>
    <w:rsid w:val="00581D8B"/>
    <w:rsid w:val="00582169"/>
    <w:rsid w:val="005900E0"/>
    <w:rsid w:val="00590347"/>
    <w:rsid w:val="00591EF9"/>
    <w:rsid w:val="005924F1"/>
    <w:rsid w:val="00593C93"/>
    <w:rsid w:val="0059688B"/>
    <w:rsid w:val="005975D4"/>
    <w:rsid w:val="005A10A5"/>
    <w:rsid w:val="005A1577"/>
    <w:rsid w:val="005A2660"/>
    <w:rsid w:val="005A3AAC"/>
    <w:rsid w:val="005A63C6"/>
    <w:rsid w:val="005A651E"/>
    <w:rsid w:val="005A6A03"/>
    <w:rsid w:val="005A6E14"/>
    <w:rsid w:val="005B0A9D"/>
    <w:rsid w:val="005B328A"/>
    <w:rsid w:val="005B39DD"/>
    <w:rsid w:val="005B50F5"/>
    <w:rsid w:val="005B5CAD"/>
    <w:rsid w:val="005B67C7"/>
    <w:rsid w:val="005B7882"/>
    <w:rsid w:val="005B7CF6"/>
    <w:rsid w:val="005C0E07"/>
    <w:rsid w:val="005C1FA0"/>
    <w:rsid w:val="005C3612"/>
    <w:rsid w:val="005C40A2"/>
    <w:rsid w:val="005C5AF3"/>
    <w:rsid w:val="005C5E1B"/>
    <w:rsid w:val="005C751B"/>
    <w:rsid w:val="005C7A07"/>
    <w:rsid w:val="005D0739"/>
    <w:rsid w:val="005D1400"/>
    <w:rsid w:val="005D2E6B"/>
    <w:rsid w:val="005D2FD2"/>
    <w:rsid w:val="005D376D"/>
    <w:rsid w:val="005D547B"/>
    <w:rsid w:val="005D571A"/>
    <w:rsid w:val="005D6350"/>
    <w:rsid w:val="005D64FB"/>
    <w:rsid w:val="005E38AB"/>
    <w:rsid w:val="005E591E"/>
    <w:rsid w:val="005E64A6"/>
    <w:rsid w:val="005E6DB6"/>
    <w:rsid w:val="005E723C"/>
    <w:rsid w:val="005E753E"/>
    <w:rsid w:val="005E782D"/>
    <w:rsid w:val="005F0359"/>
    <w:rsid w:val="005F123A"/>
    <w:rsid w:val="005F123D"/>
    <w:rsid w:val="005F2221"/>
    <w:rsid w:val="005F396C"/>
    <w:rsid w:val="005F4699"/>
    <w:rsid w:val="005F635D"/>
    <w:rsid w:val="005F69F0"/>
    <w:rsid w:val="005F7191"/>
    <w:rsid w:val="005F72C0"/>
    <w:rsid w:val="00602782"/>
    <w:rsid w:val="00603D80"/>
    <w:rsid w:val="0060552F"/>
    <w:rsid w:val="006065B8"/>
    <w:rsid w:val="006067B9"/>
    <w:rsid w:val="00606BAD"/>
    <w:rsid w:val="00606F85"/>
    <w:rsid w:val="00607644"/>
    <w:rsid w:val="00607959"/>
    <w:rsid w:val="00610402"/>
    <w:rsid w:val="00610558"/>
    <w:rsid w:val="006107E7"/>
    <w:rsid w:val="00610FAB"/>
    <w:rsid w:val="006121BD"/>
    <w:rsid w:val="006122A7"/>
    <w:rsid w:val="00612E36"/>
    <w:rsid w:val="00613A5C"/>
    <w:rsid w:val="006169F5"/>
    <w:rsid w:val="00617358"/>
    <w:rsid w:val="00617E55"/>
    <w:rsid w:val="006211D6"/>
    <w:rsid w:val="006213FA"/>
    <w:rsid w:val="00621BD2"/>
    <w:rsid w:val="00621D47"/>
    <w:rsid w:val="006226BF"/>
    <w:rsid w:val="0062483B"/>
    <w:rsid w:val="00624E11"/>
    <w:rsid w:val="00624F35"/>
    <w:rsid w:val="00626035"/>
    <w:rsid w:val="006265D6"/>
    <w:rsid w:val="00626975"/>
    <w:rsid w:val="00630A86"/>
    <w:rsid w:val="00630CEE"/>
    <w:rsid w:val="00632522"/>
    <w:rsid w:val="0063298A"/>
    <w:rsid w:val="00632A71"/>
    <w:rsid w:val="00633B89"/>
    <w:rsid w:val="00634567"/>
    <w:rsid w:val="00634FB3"/>
    <w:rsid w:val="0063565D"/>
    <w:rsid w:val="0063569B"/>
    <w:rsid w:val="00635806"/>
    <w:rsid w:val="00637897"/>
    <w:rsid w:val="00637AD0"/>
    <w:rsid w:val="0064042D"/>
    <w:rsid w:val="00640B38"/>
    <w:rsid w:val="00641D3B"/>
    <w:rsid w:val="00642295"/>
    <w:rsid w:val="00642399"/>
    <w:rsid w:val="0064257C"/>
    <w:rsid w:val="00643479"/>
    <w:rsid w:val="0064471D"/>
    <w:rsid w:val="00644EB4"/>
    <w:rsid w:val="00644FD0"/>
    <w:rsid w:val="006461A3"/>
    <w:rsid w:val="00647A1D"/>
    <w:rsid w:val="006501B1"/>
    <w:rsid w:val="006514E9"/>
    <w:rsid w:val="00651FFA"/>
    <w:rsid w:val="00652A97"/>
    <w:rsid w:val="006533A0"/>
    <w:rsid w:val="006533AE"/>
    <w:rsid w:val="00653F6F"/>
    <w:rsid w:val="00653FB1"/>
    <w:rsid w:val="0065563C"/>
    <w:rsid w:val="00656200"/>
    <w:rsid w:val="006576EC"/>
    <w:rsid w:val="00657785"/>
    <w:rsid w:val="00657931"/>
    <w:rsid w:val="0066047F"/>
    <w:rsid w:val="00661717"/>
    <w:rsid w:val="0066290C"/>
    <w:rsid w:val="006641A8"/>
    <w:rsid w:val="00664A9C"/>
    <w:rsid w:val="00664FE9"/>
    <w:rsid w:val="0066584C"/>
    <w:rsid w:val="006658C6"/>
    <w:rsid w:val="006673F6"/>
    <w:rsid w:val="00667654"/>
    <w:rsid w:val="0066797F"/>
    <w:rsid w:val="00667BC8"/>
    <w:rsid w:val="00670A81"/>
    <w:rsid w:val="00671812"/>
    <w:rsid w:val="0067236D"/>
    <w:rsid w:val="0067315B"/>
    <w:rsid w:val="00674F1D"/>
    <w:rsid w:val="006756EC"/>
    <w:rsid w:val="00676931"/>
    <w:rsid w:val="00680B7E"/>
    <w:rsid w:val="00680BAE"/>
    <w:rsid w:val="006818D0"/>
    <w:rsid w:val="00684963"/>
    <w:rsid w:val="00684A8F"/>
    <w:rsid w:val="006864F5"/>
    <w:rsid w:val="006865C9"/>
    <w:rsid w:val="00686B6A"/>
    <w:rsid w:val="00690CC9"/>
    <w:rsid w:val="00691500"/>
    <w:rsid w:val="0069185D"/>
    <w:rsid w:val="00691899"/>
    <w:rsid w:val="0069337D"/>
    <w:rsid w:val="00693C35"/>
    <w:rsid w:val="006941B1"/>
    <w:rsid w:val="00694DF2"/>
    <w:rsid w:val="00695295"/>
    <w:rsid w:val="00697849"/>
    <w:rsid w:val="006A03F5"/>
    <w:rsid w:val="006A087D"/>
    <w:rsid w:val="006A0990"/>
    <w:rsid w:val="006A10DD"/>
    <w:rsid w:val="006A121D"/>
    <w:rsid w:val="006A149E"/>
    <w:rsid w:val="006A2A98"/>
    <w:rsid w:val="006A2D0B"/>
    <w:rsid w:val="006A2E35"/>
    <w:rsid w:val="006A389B"/>
    <w:rsid w:val="006A39F5"/>
    <w:rsid w:val="006A3D01"/>
    <w:rsid w:val="006A3E8A"/>
    <w:rsid w:val="006A519C"/>
    <w:rsid w:val="006A71BE"/>
    <w:rsid w:val="006A71C4"/>
    <w:rsid w:val="006A76E3"/>
    <w:rsid w:val="006B20D9"/>
    <w:rsid w:val="006B2B4A"/>
    <w:rsid w:val="006B2DB8"/>
    <w:rsid w:val="006B35B7"/>
    <w:rsid w:val="006B47BA"/>
    <w:rsid w:val="006B4C40"/>
    <w:rsid w:val="006B5673"/>
    <w:rsid w:val="006B5CF9"/>
    <w:rsid w:val="006B757E"/>
    <w:rsid w:val="006C0408"/>
    <w:rsid w:val="006C1949"/>
    <w:rsid w:val="006C20FF"/>
    <w:rsid w:val="006C2AA6"/>
    <w:rsid w:val="006C2FEF"/>
    <w:rsid w:val="006C3125"/>
    <w:rsid w:val="006C3A8B"/>
    <w:rsid w:val="006C482C"/>
    <w:rsid w:val="006C529C"/>
    <w:rsid w:val="006C5FF4"/>
    <w:rsid w:val="006C5FFC"/>
    <w:rsid w:val="006C6377"/>
    <w:rsid w:val="006C6A8D"/>
    <w:rsid w:val="006C6F25"/>
    <w:rsid w:val="006C7054"/>
    <w:rsid w:val="006C7A11"/>
    <w:rsid w:val="006C7DAA"/>
    <w:rsid w:val="006D1349"/>
    <w:rsid w:val="006D2667"/>
    <w:rsid w:val="006D303B"/>
    <w:rsid w:val="006D3DF6"/>
    <w:rsid w:val="006D48C9"/>
    <w:rsid w:val="006D4CC5"/>
    <w:rsid w:val="006D5BED"/>
    <w:rsid w:val="006D778A"/>
    <w:rsid w:val="006D7810"/>
    <w:rsid w:val="006E1EF1"/>
    <w:rsid w:val="006E1F5B"/>
    <w:rsid w:val="006E36E2"/>
    <w:rsid w:val="006E4826"/>
    <w:rsid w:val="006E52B6"/>
    <w:rsid w:val="006E6A87"/>
    <w:rsid w:val="006E7334"/>
    <w:rsid w:val="006E7C02"/>
    <w:rsid w:val="006F040E"/>
    <w:rsid w:val="006F1377"/>
    <w:rsid w:val="006F199D"/>
    <w:rsid w:val="006F23C0"/>
    <w:rsid w:val="006F4913"/>
    <w:rsid w:val="006F4D8A"/>
    <w:rsid w:val="006F4F75"/>
    <w:rsid w:val="006F513A"/>
    <w:rsid w:val="006F55E7"/>
    <w:rsid w:val="006F5BB7"/>
    <w:rsid w:val="006F6376"/>
    <w:rsid w:val="00700146"/>
    <w:rsid w:val="00700B76"/>
    <w:rsid w:val="00701E3B"/>
    <w:rsid w:val="00702536"/>
    <w:rsid w:val="007035CA"/>
    <w:rsid w:val="0070409B"/>
    <w:rsid w:val="007051D2"/>
    <w:rsid w:val="00705485"/>
    <w:rsid w:val="00706924"/>
    <w:rsid w:val="00706C8F"/>
    <w:rsid w:val="007074D6"/>
    <w:rsid w:val="00707C99"/>
    <w:rsid w:val="0071049F"/>
    <w:rsid w:val="007104DE"/>
    <w:rsid w:val="007110B4"/>
    <w:rsid w:val="007118CB"/>
    <w:rsid w:val="007123A6"/>
    <w:rsid w:val="007134E1"/>
    <w:rsid w:val="00713ADC"/>
    <w:rsid w:val="00715275"/>
    <w:rsid w:val="00717BEB"/>
    <w:rsid w:val="00721D12"/>
    <w:rsid w:val="00721D25"/>
    <w:rsid w:val="0072226E"/>
    <w:rsid w:val="00722EC9"/>
    <w:rsid w:val="00723297"/>
    <w:rsid w:val="00723945"/>
    <w:rsid w:val="007241AA"/>
    <w:rsid w:val="00724929"/>
    <w:rsid w:val="00725D8C"/>
    <w:rsid w:val="0072605C"/>
    <w:rsid w:val="00726C1C"/>
    <w:rsid w:val="007272B0"/>
    <w:rsid w:val="007309AB"/>
    <w:rsid w:val="00730C8B"/>
    <w:rsid w:val="0073142E"/>
    <w:rsid w:val="0073223C"/>
    <w:rsid w:val="007327A4"/>
    <w:rsid w:val="00735C92"/>
    <w:rsid w:val="007361DA"/>
    <w:rsid w:val="00737499"/>
    <w:rsid w:val="00740B27"/>
    <w:rsid w:val="00740D38"/>
    <w:rsid w:val="007417E0"/>
    <w:rsid w:val="00742906"/>
    <w:rsid w:val="007436ED"/>
    <w:rsid w:val="007438F3"/>
    <w:rsid w:val="00743D1D"/>
    <w:rsid w:val="00744E5A"/>
    <w:rsid w:val="00745DE0"/>
    <w:rsid w:val="00745F7A"/>
    <w:rsid w:val="007467A6"/>
    <w:rsid w:val="00747A03"/>
    <w:rsid w:val="00750224"/>
    <w:rsid w:val="0075038F"/>
    <w:rsid w:val="00750A54"/>
    <w:rsid w:val="00751600"/>
    <w:rsid w:val="00751858"/>
    <w:rsid w:val="0075344F"/>
    <w:rsid w:val="00754A3E"/>
    <w:rsid w:val="007551D8"/>
    <w:rsid w:val="00755698"/>
    <w:rsid w:val="0075651A"/>
    <w:rsid w:val="00757169"/>
    <w:rsid w:val="00757720"/>
    <w:rsid w:val="0076002F"/>
    <w:rsid w:val="00761104"/>
    <w:rsid w:val="00761E0E"/>
    <w:rsid w:val="00761E62"/>
    <w:rsid w:val="007627A0"/>
    <w:rsid w:val="00762A87"/>
    <w:rsid w:val="00763B5E"/>
    <w:rsid w:val="00763CA4"/>
    <w:rsid w:val="00763F91"/>
    <w:rsid w:val="00765702"/>
    <w:rsid w:val="007658D0"/>
    <w:rsid w:val="00765906"/>
    <w:rsid w:val="00765A9B"/>
    <w:rsid w:val="00765B46"/>
    <w:rsid w:val="00765C11"/>
    <w:rsid w:val="007661C3"/>
    <w:rsid w:val="00767CB1"/>
    <w:rsid w:val="00767DE0"/>
    <w:rsid w:val="00771CFD"/>
    <w:rsid w:val="00773D31"/>
    <w:rsid w:val="007754A7"/>
    <w:rsid w:val="00776B9F"/>
    <w:rsid w:val="00777618"/>
    <w:rsid w:val="007779F7"/>
    <w:rsid w:val="0078018C"/>
    <w:rsid w:val="0078225B"/>
    <w:rsid w:val="00782C2F"/>
    <w:rsid w:val="00782E49"/>
    <w:rsid w:val="00783BD2"/>
    <w:rsid w:val="00784A55"/>
    <w:rsid w:val="007868B5"/>
    <w:rsid w:val="00786B0E"/>
    <w:rsid w:val="00787D6E"/>
    <w:rsid w:val="007904F3"/>
    <w:rsid w:val="00790F97"/>
    <w:rsid w:val="00792128"/>
    <w:rsid w:val="00792230"/>
    <w:rsid w:val="00792B51"/>
    <w:rsid w:val="00792C02"/>
    <w:rsid w:val="007932BB"/>
    <w:rsid w:val="007940F5"/>
    <w:rsid w:val="00794DE0"/>
    <w:rsid w:val="00795BF4"/>
    <w:rsid w:val="0079687F"/>
    <w:rsid w:val="00796A33"/>
    <w:rsid w:val="0079781B"/>
    <w:rsid w:val="007A11FF"/>
    <w:rsid w:val="007A176A"/>
    <w:rsid w:val="007A2063"/>
    <w:rsid w:val="007A209A"/>
    <w:rsid w:val="007A28E6"/>
    <w:rsid w:val="007A6060"/>
    <w:rsid w:val="007A6299"/>
    <w:rsid w:val="007A6695"/>
    <w:rsid w:val="007A78E2"/>
    <w:rsid w:val="007B02A0"/>
    <w:rsid w:val="007B1770"/>
    <w:rsid w:val="007B231A"/>
    <w:rsid w:val="007B2C57"/>
    <w:rsid w:val="007B3EB4"/>
    <w:rsid w:val="007B6A87"/>
    <w:rsid w:val="007C0B06"/>
    <w:rsid w:val="007C0B63"/>
    <w:rsid w:val="007C1520"/>
    <w:rsid w:val="007C16C2"/>
    <w:rsid w:val="007C1B68"/>
    <w:rsid w:val="007C2636"/>
    <w:rsid w:val="007C478A"/>
    <w:rsid w:val="007C5A53"/>
    <w:rsid w:val="007C5DFB"/>
    <w:rsid w:val="007C6013"/>
    <w:rsid w:val="007C6B43"/>
    <w:rsid w:val="007C744B"/>
    <w:rsid w:val="007D10EF"/>
    <w:rsid w:val="007D1BD7"/>
    <w:rsid w:val="007D437E"/>
    <w:rsid w:val="007D44BD"/>
    <w:rsid w:val="007D56B2"/>
    <w:rsid w:val="007D6B40"/>
    <w:rsid w:val="007D7293"/>
    <w:rsid w:val="007D74C1"/>
    <w:rsid w:val="007D78B7"/>
    <w:rsid w:val="007E0933"/>
    <w:rsid w:val="007E0AF8"/>
    <w:rsid w:val="007E2BCD"/>
    <w:rsid w:val="007E3D5A"/>
    <w:rsid w:val="007E3DC5"/>
    <w:rsid w:val="007E50CF"/>
    <w:rsid w:val="007E5215"/>
    <w:rsid w:val="007E540D"/>
    <w:rsid w:val="007E6865"/>
    <w:rsid w:val="007E688A"/>
    <w:rsid w:val="007E7D76"/>
    <w:rsid w:val="007E7EE1"/>
    <w:rsid w:val="007F06E0"/>
    <w:rsid w:val="007F17FA"/>
    <w:rsid w:val="007F1A34"/>
    <w:rsid w:val="007F21B3"/>
    <w:rsid w:val="007F2FDD"/>
    <w:rsid w:val="007F4157"/>
    <w:rsid w:val="007F4335"/>
    <w:rsid w:val="007F4906"/>
    <w:rsid w:val="007F5CA1"/>
    <w:rsid w:val="007F5F18"/>
    <w:rsid w:val="007F73B6"/>
    <w:rsid w:val="007F7803"/>
    <w:rsid w:val="00800834"/>
    <w:rsid w:val="008015C1"/>
    <w:rsid w:val="00802972"/>
    <w:rsid w:val="00804FBD"/>
    <w:rsid w:val="008059BC"/>
    <w:rsid w:val="00806587"/>
    <w:rsid w:val="0080671A"/>
    <w:rsid w:val="008074D7"/>
    <w:rsid w:val="00810249"/>
    <w:rsid w:val="00810EDA"/>
    <w:rsid w:val="00811435"/>
    <w:rsid w:val="00811899"/>
    <w:rsid w:val="008132F9"/>
    <w:rsid w:val="00813A98"/>
    <w:rsid w:val="00814928"/>
    <w:rsid w:val="008155B3"/>
    <w:rsid w:val="00815CA6"/>
    <w:rsid w:val="00815F18"/>
    <w:rsid w:val="0081601D"/>
    <w:rsid w:val="00816ECD"/>
    <w:rsid w:val="00817BAD"/>
    <w:rsid w:val="008213EA"/>
    <w:rsid w:val="00821AE5"/>
    <w:rsid w:val="008227C9"/>
    <w:rsid w:val="00822D67"/>
    <w:rsid w:val="00824A35"/>
    <w:rsid w:val="00825474"/>
    <w:rsid w:val="00827FFC"/>
    <w:rsid w:val="008313A1"/>
    <w:rsid w:val="00832C86"/>
    <w:rsid w:val="00833BF6"/>
    <w:rsid w:val="00835A19"/>
    <w:rsid w:val="00835BF0"/>
    <w:rsid w:val="00836284"/>
    <w:rsid w:val="00837225"/>
    <w:rsid w:val="008379BC"/>
    <w:rsid w:val="00837FF5"/>
    <w:rsid w:val="00840CE4"/>
    <w:rsid w:val="00841100"/>
    <w:rsid w:val="008411D5"/>
    <w:rsid w:val="008411D9"/>
    <w:rsid w:val="0084144C"/>
    <w:rsid w:val="00841828"/>
    <w:rsid w:val="00842BCF"/>
    <w:rsid w:val="00842E3E"/>
    <w:rsid w:val="00843912"/>
    <w:rsid w:val="00843CEE"/>
    <w:rsid w:val="00845108"/>
    <w:rsid w:val="00845678"/>
    <w:rsid w:val="008461F0"/>
    <w:rsid w:val="00846210"/>
    <w:rsid w:val="00846B04"/>
    <w:rsid w:val="00847391"/>
    <w:rsid w:val="00847896"/>
    <w:rsid w:val="008507FA"/>
    <w:rsid w:val="0085219D"/>
    <w:rsid w:val="008525AB"/>
    <w:rsid w:val="00852BA7"/>
    <w:rsid w:val="00852F2E"/>
    <w:rsid w:val="0085392C"/>
    <w:rsid w:val="00854090"/>
    <w:rsid w:val="00854446"/>
    <w:rsid w:val="008545F7"/>
    <w:rsid w:val="008561C3"/>
    <w:rsid w:val="008609FA"/>
    <w:rsid w:val="00860A5F"/>
    <w:rsid w:val="008616A1"/>
    <w:rsid w:val="008617C7"/>
    <w:rsid w:val="00861E2A"/>
    <w:rsid w:val="0086316C"/>
    <w:rsid w:val="0086438B"/>
    <w:rsid w:val="0086514A"/>
    <w:rsid w:val="008659A6"/>
    <w:rsid w:val="00865BEB"/>
    <w:rsid w:val="008663AF"/>
    <w:rsid w:val="008668CD"/>
    <w:rsid w:val="00866BC9"/>
    <w:rsid w:val="00866C82"/>
    <w:rsid w:val="00866E84"/>
    <w:rsid w:val="00867B00"/>
    <w:rsid w:val="00867FE9"/>
    <w:rsid w:val="00871257"/>
    <w:rsid w:val="00872174"/>
    <w:rsid w:val="0087294A"/>
    <w:rsid w:val="00872B67"/>
    <w:rsid w:val="008731CF"/>
    <w:rsid w:val="0087495B"/>
    <w:rsid w:val="00874E6F"/>
    <w:rsid w:val="00874F79"/>
    <w:rsid w:val="008756B8"/>
    <w:rsid w:val="00875D21"/>
    <w:rsid w:val="00875DFF"/>
    <w:rsid w:val="008761A5"/>
    <w:rsid w:val="00876540"/>
    <w:rsid w:val="008779B9"/>
    <w:rsid w:val="008779CB"/>
    <w:rsid w:val="00877AAC"/>
    <w:rsid w:val="00877F04"/>
    <w:rsid w:val="00880040"/>
    <w:rsid w:val="00881156"/>
    <w:rsid w:val="00881558"/>
    <w:rsid w:val="0088376F"/>
    <w:rsid w:val="00883C3F"/>
    <w:rsid w:val="00883C96"/>
    <w:rsid w:val="00883E2F"/>
    <w:rsid w:val="008842E7"/>
    <w:rsid w:val="00884EC3"/>
    <w:rsid w:val="00885501"/>
    <w:rsid w:val="0088799A"/>
    <w:rsid w:val="00887AC5"/>
    <w:rsid w:val="008903B1"/>
    <w:rsid w:val="00890EF0"/>
    <w:rsid w:val="008910B6"/>
    <w:rsid w:val="008917F4"/>
    <w:rsid w:val="008935EB"/>
    <w:rsid w:val="00893951"/>
    <w:rsid w:val="00894070"/>
    <w:rsid w:val="008941A5"/>
    <w:rsid w:val="00894D16"/>
    <w:rsid w:val="008958EF"/>
    <w:rsid w:val="00895B82"/>
    <w:rsid w:val="008961A6"/>
    <w:rsid w:val="008967D4"/>
    <w:rsid w:val="00897A30"/>
    <w:rsid w:val="00897E11"/>
    <w:rsid w:val="008A00D6"/>
    <w:rsid w:val="008A21BF"/>
    <w:rsid w:val="008A2B26"/>
    <w:rsid w:val="008A3117"/>
    <w:rsid w:val="008A3760"/>
    <w:rsid w:val="008A5394"/>
    <w:rsid w:val="008A56CA"/>
    <w:rsid w:val="008A6044"/>
    <w:rsid w:val="008A6A63"/>
    <w:rsid w:val="008A6AF4"/>
    <w:rsid w:val="008A7AFE"/>
    <w:rsid w:val="008B28C1"/>
    <w:rsid w:val="008B447A"/>
    <w:rsid w:val="008B45B5"/>
    <w:rsid w:val="008B4C3A"/>
    <w:rsid w:val="008B56B3"/>
    <w:rsid w:val="008C17DB"/>
    <w:rsid w:val="008C1A47"/>
    <w:rsid w:val="008C1E26"/>
    <w:rsid w:val="008C1EE7"/>
    <w:rsid w:val="008C20AD"/>
    <w:rsid w:val="008C2173"/>
    <w:rsid w:val="008C4429"/>
    <w:rsid w:val="008C708B"/>
    <w:rsid w:val="008C7424"/>
    <w:rsid w:val="008C780F"/>
    <w:rsid w:val="008D0C0A"/>
    <w:rsid w:val="008D0FD6"/>
    <w:rsid w:val="008D13C8"/>
    <w:rsid w:val="008D17E2"/>
    <w:rsid w:val="008D1FD6"/>
    <w:rsid w:val="008D2276"/>
    <w:rsid w:val="008D2C13"/>
    <w:rsid w:val="008D3EB2"/>
    <w:rsid w:val="008D4292"/>
    <w:rsid w:val="008D4FA3"/>
    <w:rsid w:val="008D5035"/>
    <w:rsid w:val="008E0662"/>
    <w:rsid w:val="008E13C2"/>
    <w:rsid w:val="008E1568"/>
    <w:rsid w:val="008E156A"/>
    <w:rsid w:val="008E35B4"/>
    <w:rsid w:val="008E35D2"/>
    <w:rsid w:val="008E3B3E"/>
    <w:rsid w:val="008E522D"/>
    <w:rsid w:val="008E526B"/>
    <w:rsid w:val="008E7CFD"/>
    <w:rsid w:val="008F0D00"/>
    <w:rsid w:val="008F197D"/>
    <w:rsid w:val="008F1985"/>
    <w:rsid w:val="008F2056"/>
    <w:rsid w:val="008F24C3"/>
    <w:rsid w:val="008F25CE"/>
    <w:rsid w:val="008F2653"/>
    <w:rsid w:val="008F3A12"/>
    <w:rsid w:val="008F4C8F"/>
    <w:rsid w:val="008F5418"/>
    <w:rsid w:val="008F542F"/>
    <w:rsid w:val="008F7059"/>
    <w:rsid w:val="008F73DE"/>
    <w:rsid w:val="008F75B8"/>
    <w:rsid w:val="008F7600"/>
    <w:rsid w:val="008F7EB1"/>
    <w:rsid w:val="0090034D"/>
    <w:rsid w:val="009014CD"/>
    <w:rsid w:val="009023C8"/>
    <w:rsid w:val="00902BBA"/>
    <w:rsid w:val="0090339C"/>
    <w:rsid w:val="009050FF"/>
    <w:rsid w:val="00905463"/>
    <w:rsid w:val="009065FB"/>
    <w:rsid w:val="00907DEE"/>
    <w:rsid w:val="00907EA1"/>
    <w:rsid w:val="00911877"/>
    <w:rsid w:val="00913472"/>
    <w:rsid w:val="00914789"/>
    <w:rsid w:val="00914C7B"/>
    <w:rsid w:val="00915AFD"/>
    <w:rsid w:val="00915B68"/>
    <w:rsid w:val="009165C2"/>
    <w:rsid w:val="00916614"/>
    <w:rsid w:val="00917B77"/>
    <w:rsid w:val="0092065E"/>
    <w:rsid w:val="00921576"/>
    <w:rsid w:val="0092170A"/>
    <w:rsid w:val="00921A02"/>
    <w:rsid w:val="0092224A"/>
    <w:rsid w:val="009230A7"/>
    <w:rsid w:val="0092380B"/>
    <w:rsid w:val="00923EE5"/>
    <w:rsid w:val="00924C64"/>
    <w:rsid w:val="00926D6A"/>
    <w:rsid w:val="00927972"/>
    <w:rsid w:val="00930080"/>
    <w:rsid w:val="009306D8"/>
    <w:rsid w:val="009316F6"/>
    <w:rsid w:val="00931AB2"/>
    <w:rsid w:val="00931E4E"/>
    <w:rsid w:val="0093398E"/>
    <w:rsid w:val="00933A1A"/>
    <w:rsid w:val="00934219"/>
    <w:rsid w:val="009342F5"/>
    <w:rsid w:val="009344E0"/>
    <w:rsid w:val="009355A5"/>
    <w:rsid w:val="00935A62"/>
    <w:rsid w:val="00935C31"/>
    <w:rsid w:val="009363A6"/>
    <w:rsid w:val="0093654F"/>
    <w:rsid w:val="00936BE8"/>
    <w:rsid w:val="00936E0F"/>
    <w:rsid w:val="0093702C"/>
    <w:rsid w:val="00937255"/>
    <w:rsid w:val="0093798C"/>
    <w:rsid w:val="00937C24"/>
    <w:rsid w:val="00940251"/>
    <w:rsid w:val="00940A81"/>
    <w:rsid w:val="009420FD"/>
    <w:rsid w:val="00942960"/>
    <w:rsid w:val="00942BFE"/>
    <w:rsid w:val="009437C5"/>
    <w:rsid w:val="00946668"/>
    <w:rsid w:val="00946F80"/>
    <w:rsid w:val="009479A0"/>
    <w:rsid w:val="00950FAB"/>
    <w:rsid w:val="00950FB5"/>
    <w:rsid w:val="00951828"/>
    <w:rsid w:val="00952B70"/>
    <w:rsid w:val="00953650"/>
    <w:rsid w:val="00953873"/>
    <w:rsid w:val="00953BE6"/>
    <w:rsid w:val="0095451E"/>
    <w:rsid w:val="00954611"/>
    <w:rsid w:val="0095495D"/>
    <w:rsid w:val="009558C1"/>
    <w:rsid w:val="00957EB4"/>
    <w:rsid w:val="009617C9"/>
    <w:rsid w:val="00961B93"/>
    <w:rsid w:val="00963267"/>
    <w:rsid w:val="00963B2A"/>
    <w:rsid w:val="00963DD1"/>
    <w:rsid w:val="009668EB"/>
    <w:rsid w:val="009670CC"/>
    <w:rsid w:val="00970B0D"/>
    <w:rsid w:val="00970C57"/>
    <w:rsid w:val="00972503"/>
    <w:rsid w:val="00972A4C"/>
    <w:rsid w:val="009748E9"/>
    <w:rsid w:val="00975610"/>
    <w:rsid w:val="0097563D"/>
    <w:rsid w:val="0097593D"/>
    <w:rsid w:val="00975E81"/>
    <w:rsid w:val="0097703E"/>
    <w:rsid w:val="009772A2"/>
    <w:rsid w:val="00977E34"/>
    <w:rsid w:val="00980AA5"/>
    <w:rsid w:val="00980C8C"/>
    <w:rsid w:val="00981448"/>
    <w:rsid w:val="00981EA7"/>
    <w:rsid w:val="00983611"/>
    <w:rsid w:val="00984AC6"/>
    <w:rsid w:val="00984D1F"/>
    <w:rsid w:val="009873DF"/>
    <w:rsid w:val="00987F24"/>
    <w:rsid w:val="0099130E"/>
    <w:rsid w:val="00991360"/>
    <w:rsid w:val="009914BC"/>
    <w:rsid w:val="0099170E"/>
    <w:rsid w:val="00991842"/>
    <w:rsid w:val="00992275"/>
    <w:rsid w:val="00992D49"/>
    <w:rsid w:val="009931D7"/>
    <w:rsid w:val="00993346"/>
    <w:rsid w:val="0099365A"/>
    <w:rsid w:val="00993B8E"/>
    <w:rsid w:val="00993CD4"/>
    <w:rsid w:val="00994007"/>
    <w:rsid w:val="00994059"/>
    <w:rsid w:val="0099441F"/>
    <w:rsid w:val="00994DD7"/>
    <w:rsid w:val="00996419"/>
    <w:rsid w:val="00996992"/>
    <w:rsid w:val="009A013E"/>
    <w:rsid w:val="009A0311"/>
    <w:rsid w:val="009A0BB3"/>
    <w:rsid w:val="009A0F0D"/>
    <w:rsid w:val="009A135A"/>
    <w:rsid w:val="009A1B43"/>
    <w:rsid w:val="009A1F77"/>
    <w:rsid w:val="009A1FE8"/>
    <w:rsid w:val="009A201E"/>
    <w:rsid w:val="009A5D72"/>
    <w:rsid w:val="009A6C7C"/>
    <w:rsid w:val="009A7E05"/>
    <w:rsid w:val="009B00F9"/>
    <w:rsid w:val="009B0354"/>
    <w:rsid w:val="009B0FB1"/>
    <w:rsid w:val="009B25AD"/>
    <w:rsid w:val="009B2F60"/>
    <w:rsid w:val="009B411D"/>
    <w:rsid w:val="009B4C25"/>
    <w:rsid w:val="009B4CA6"/>
    <w:rsid w:val="009B60D4"/>
    <w:rsid w:val="009B7074"/>
    <w:rsid w:val="009B7897"/>
    <w:rsid w:val="009C024E"/>
    <w:rsid w:val="009C05C1"/>
    <w:rsid w:val="009C1031"/>
    <w:rsid w:val="009C1E6D"/>
    <w:rsid w:val="009C1FA9"/>
    <w:rsid w:val="009C2525"/>
    <w:rsid w:val="009C3379"/>
    <w:rsid w:val="009C3529"/>
    <w:rsid w:val="009C3D69"/>
    <w:rsid w:val="009C3FFE"/>
    <w:rsid w:val="009C4E8B"/>
    <w:rsid w:val="009C613E"/>
    <w:rsid w:val="009C7AB4"/>
    <w:rsid w:val="009C7AC0"/>
    <w:rsid w:val="009D1DE4"/>
    <w:rsid w:val="009D27B0"/>
    <w:rsid w:val="009D2CE3"/>
    <w:rsid w:val="009D3256"/>
    <w:rsid w:val="009D4846"/>
    <w:rsid w:val="009D5454"/>
    <w:rsid w:val="009D59CA"/>
    <w:rsid w:val="009D64E5"/>
    <w:rsid w:val="009D65E8"/>
    <w:rsid w:val="009D66BE"/>
    <w:rsid w:val="009D69C3"/>
    <w:rsid w:val="009D7AC8"/>
    <w:rsid w:val="009D7DE4"/>
    <w:rsid w:val="009E0B73"/>
    <w:rsid w:val="009E202A"/>
    <w:rsid w:val="009E2688"/>
    <w:rsid w:val="009E3063"/>
    <w:rsid w:val="009E3095"/>
    <w:rsid w:val="009E3206"/>
    <w:rsid w:val="009E43A3"/>
    <w:rsid w:val="009E44D6"/>
    <w:rsid w:val="009E4911"/>
    <w:rsid w:val="009E5235"/>
    <w:rsid w:val="009E5281"/>
    <w:rsid w:val="009E6918"/>
    <w:rsid w:val="009E6A3C"/>
    <w:rsid w:val="009E766F"/>
    <w:rsid w:val="009F0C35"/>
    <w:rsid w:val="009F128A"/>
    <w:rsid w:val="009F1D3C"/>
    <w:rsid w:val="009F1DB5"/>
    <w:rsid w:val="009F1FBB"/>
    <w:rsid w:val="009F3145"/>
    <w:rsid w:val="009F3466"/>
    <w:rsid w:val="009F3506"/>
    <w:rsid w:val="009F3C09"/>
    <w:rsid w:val="009F4716"/>
    <w:rsid w:val="009F5039"/>
    <w:rsid w:val="009F54FE"/>
    <w:rsid w:val="009F6E43"/>
    <w:rsid w:val="009F7F55"/>
    <w:rsid w:val="00A02E89"/>
    <w:rsid w:val="00A03E3F"/>
    <w:rsid w:val="00A042FD"/>
    <w:rsid w:val="00A04DB1"/>
    <w:rsid w:val="00A04E91"/>
    <w:rsid w:val="00A057F1"/>
    <w:rsid w:val="00A06417"/>
    <w:rsid w:val="00A071E9"/>
    <w:rsid w:val="00A10859"/>
    <w:rsid w:val="00A10E54"/>
    <w:rsid w:val="00A11187"/>
    <w:rsid w:val="00A11438"/>
    <w:rsid w:val="00A11A16"/>
    <w:rsid w:val="00A12D60"/>
    <w:rsid w:val="00A13281"/>
    <w:rsid w:val="00A13681"/>
    <w:rsid w:val="00A14018"/>
    <w:rsid w:val="00A14473"/>
    <w:rsid w:val="00A1559B"/>
    <w:rsid w:val="00A164BB"/>
    <w:rsid w:val="00A17269"/>
    <w:rsid w:val="00A200D4"/>
    <w:rsid w:val="00A23F2B"/>
    <w:rsid w:val="00A252CC"/>
    <w:rsid w:val="00A30819"/>
    <w:rsid w:val="00A322B0"/>
    <w:rsid w:val="00A34652"/>
    <w:rsid w:val="00A34B6C"/>
    <w:rsid w:val="00A37521"/>
    <w:rsid w:val="00A41500"/>
    <w:rsid w:val="00A41DA8"/>
    <w:rsid w:val="00A4297D"/>
    <w:rsid w:val="00A429DE"/>
    <w:rsid w:val="00A43606"/>
    <w:rsid w:val="00A44DCF"/>
    <w:rsid w:val="00A4533A"/>
    <w:rsid w:val="00A454FF"/>
    <w:rsid w:val="00A455C6"/>
    <w:rsid w:val="00A50907"/>
    <w:rsid w:val="00A5136C"/>
    <w:rsid w:val="00A519D3"/>
    <w:rsid w:val="00A5469C"/>
    <w:rsid w:val="00A54F5D"/>
    <w:rsid w:val="00A553C7"/>
    <w:rsid w:val="00A55AD2"/>
    <w:rsid w:val="00A56243"/>
    <w:rsid w:val="00A60C52"/>
    <w:rsid w:val="00A619D5"/>
    <w:rsid w:val="00A62CCA"/>
    <w:rsid w:val="00A63439"/>
    <w:rsid w:val="00A63DF8"/>
    <w:rsid w:val="00A66115"/>
    <w:rsid w:val="00A66AAE"/>
    <w:rsid w:val="00A67836"/>
    <w:rsid w:val="00A708DA"/>
    <w:rsid w:val="00A714DE"/>
    <w:rsid w:val="00A7167B"/>
    <w:rsid w:val="00A71B9A"/>
    <w:rsid w:val="00A729FC"/>
    <w:rsid w:val="00A72B95"/>
    <w:rsid w:val="00A7504C"/>
    <w:rsid w:val="00A7553E"/>
    <w:rsid w:val="00A755FF"/>
    <w:rsid w:val="00A75B2D"/>
    <w:rsid w:val="00A75C45"/>
    <w:rsid w:val="00A7734E"/>
    <w:rsid w:val="00A77803"/>
    <w:rsid w:val="00A77C26"/>
    <w:rsid w:val="00A77D61"/>
    <w:rsid w:val="00A81078"/>
    <w:rsid w:val="00A8142D"/>
    <w:rsid w:val="00A82693"/>
    <w:rsid w:val="00A82882"/>
    <w:rsid w:val="00A838A9"/>
    <w:rsid w:val="00A83D7C"/>
    <w:rsid w:val="00A84F81"/>
    <w:rsid w:val="00A85049"/>
    <w:rsid w:val="00A85593"/>
    <w:rsid w:val="00A86776"/>
    <w:rsid w:val="00A868A2"/>
    <w:rsid w:val="00A8724E"/>
    <w:rsid w:val="00A87899"/>
    <w:rsid w:val="00A90222"/>
    <w:rsid w:val="00A92071"/>
    <w:rsid w:val="00A953A9"/>
    <w:rsid w:val="00A9694E"/>
    <w:rsid w:val="00A97F41"/>
    <w:rsid w:val="00AA009B"/>
    <w:rsid w:val="00AA05A1"/>
    <w:rsid w:val="00AA092C"/>
    <w:rsid w:val="00AA0CC7"/>
    <w:rsid w:val="00AA196D"/>
    <w:rsid w:val="00AA1BC8"/>
    <w:rsid w:val="00AA39AD"/>
    <w:rsid w:val="00AA3DF3"/>
    <w:rsid w:val="00AA57E3"/>
    <w:rsid w:val="00AA6832"/>
    <w:rsid w:val="00AA7712"/>
    <w:rsid w:val="00AA783A"/>
    <w:rsid w:val="00AA7ECD"/>
    <w:rsid w:val="00AB02FF"/>
    <w:rsid w:val="00AB0623"/>
    <w:rsid w:val="00AB0CA9"/>
    <w:rsid w:val="00AB0CC4"/>
    <w:rsid w:val="00AB1A84"/>
    <w:rsid w:val="00AB228B"/>
    <w:rsid w:val="00AB5CE8"/>
    <w:rsid w:val="00AB6D63"/>
    <w:rsid w:val="00AB7EF9"/>
    <w:rsid w:val="00AC0539"/>
    <w:rsid w:val="00AC07A8"/>
    <w:rsid w:val="00AC1D06"/>
    <w:rsid w:val="00AC2056"/>
    <w:rsid w:val="00AC2E04"/>
    <w:rsid w:val="00AC434B"/>
    <w:rsid w:val="00AC5998"/>
    <w:rsid w:val="00AC59A6"/>
    <w:rsid w:val="00AD0B6A"/>
    <w:rsid w:val="00AD18AD"/>
    <w:rsid w:val="00AD1D18"/>
    <w:rsid w:val="00AD5D30"/>
    <w:rsid w:val="00AD719E"/>
    <w:rsid w:val="00AE00A4"/>
    <w:rsid w:val="00AE0488"/>
    <w:rsid w:val="00AE0924"/>
    <w:rsid w:val="00AE0E01"/>
    <w:rsid w:val="00AE247F"/>
    <w:rsid w:val="00AE29AA"/>
    <w:rsid w:val="00AE3914"/>
    <w:rsid w:val="00AE39E9"/>
    <w:rsid w:val="00AE3ED2"/>
    <w:rsid w:val="00AE5D0C"/>
    <w:rsid w:val="00AE7B30"/>
    <w:rsid w:val="00AF06D6"/>
    <w:rsid w:val="00AF0C53"/>
    <w:rsid w:val="00AF2F19"/>
    <w:rsid w:val="00AF3138"/>
    <w:rsid w:val="00AF31A2"/>
    <w:rsid w:val="00AF4446"/>
    <w:rsid w:val="00AF4528"/>
    <w:rsid w:val="00AF4B12"/>
    <w:rsid w:val="00AF4B9D"/>
    <w:rsid w:val="00AF4ED2"/>
    <w:rsid w:val="00AF5A37"/>
    <w:rsid w:val="00AF60B8"/>
    <w:rsid w:val="00AF61A3"/>
    <w:rsid w:val="00AF6B28"/>
    <w:rsid w:val="00AF7F72"/>
    <w:rsid w:val="00B0051E"/>
    <w:rsid w:val="00B0111C"/>
    <w:rsid w:val="00B015C3"/>
    <w:rsid w:val="00B0273F"/>
    <w:rsid w:val="00B02832"/>
    <w:rsid w:val="00B04315"/>
    <w:rsid w:val="00B0670D"/>
    <w:rsid w:val="00B0763C"/>
    <w:rsid w:val="00B1184B"/>
    <w:rsid w:val="00B11D0A"/>
    <w:rsid w:val="00B11EAE"/>
    <w:rsid w:val="00B12078"/>
    <w:rsid w:val="00B12225"/>
    <w:rsid w:val="00B13936"/>
    <w:rsid w:val="00B142A3"/>
    <w:rsid w:val="00B144DF"/>
    <w:rsid w:val="00B15D2B"/>
    <w:rsid w:val="00B168D9"/>
    <w:rsid w:val="00B16D06"/>
    <w:rsid w:val="00B175F6"/>
    <w:rsid w:val="00B176E8"/>
    <w:rsid w:val="00B208DA"/>
    <w:rsid w:val="00B211F9"/>
    <w:rsid w:val="00B2240C"/>
    <w:rsid w:val="00B225FB"/>
    <w:rsid w:val="00B228C0"/>
    <w:rsid w:val="00B22A59"/>
    <w:rsid w:val="00B22B1F"/>
    <w:rsid w:val="00B237A9"/>
    <w:rsid w:val="00B260AB"/>
    <w:rsid w:val="00B26A1A"/>
    <w:rsid w:val="00B30A89"/>
    <w:rsid w:val="00B31AB6"/>
    <w:rsid w:val="00B32297"/>
    <w:rsid w:val="00B3250C"/>
    <w:rsid w:val="00B32A20"/>
    <w:rsid w:val="00B32A23"/>
    <w:rsid w:val="00B335AC"/>
    <w:rsid w:val="00B34731"/>
    <w:rsid w:val="00B352F9"/>
    <w:rsid w:val="00B35AA7"/>
    <w:rsid w:val="00B35DBA"/>
    <w:rsid w:val="00B3612A"/>
    <w:rsid w:val="00B366C7"/>
    <w:rsid w:val="00B40E10"/>
    <w:rsid w:val="00B415C2"/>
    <w:rsid w:val="00B4164D"/>
    <w:rsid w:val="00B43B16"/>
    <w:rsid w:val="00B45A1C"/>
    <w:rsid w:val="00B4703F"/>
    <w:rsid w:val="00B47143"/>
    <w:rsid w:val="00B50521"/>
    <w:rsid w:val="00B50818"/>
    <w:rsid w:val="00B51141"/>
    <w:rsid w:val="00B51B4B"/>
    <w:rsid w:val="00B51D86"/>
    <w:rsid w:val="00B52D6C"/>
    <w:rsid w:val="00B53327"/>
    <w:rsid w:val="00B538AE"/>
    <w:rsid w:val="00B541ED"/>
    <w:rsid w:val="00B54BE9"/>
    <w:rsid w:val="00B551AE"/>
    <w:rsid w:val="00B55FAA"/>
    <w:rsid w:val="00B576AC"/>
    <w:rsid w:val="00B60438"/>
    <w:rsid w:val="00B60A1F"/>
    <w:rsid w:val="00B62077"/>
    <w:rsid w:val="00B6267B"/>
    <w:rsid w:val="00B627FC"/>
    <w:rsid w:val="00B6319C"/>
    <w:rsid w:val="00B636FE"/>
    <w:rsid w:val="00B63A12"/>
    <w:rsid w:val="00B647F7"/>
    <w:rsid w:val="00B662BB"/>
    <w:rsid w:val="00B66CD0"/>
    <w:rsid w:val="00B66D2C"/>
    <w:rsid w:val="00B66DAD"/>
    <w:rsid w:val="00B707C4"/>
    <w:rsid w:val="00B70B89"/>
    <w:rsid w:val="00B72E1D"/>
    <w:rsid w:val="00B72FCB"/>
    <w:rsid w:val="00B7575F"/>
    <w:rsid w:val="00B769A4"/>
    <w:rsid w:val="00B76B1A"/>
    <w:rsid w:val="00B80036"/>
    <w:rsid w:val="00B807D9"/>
    <w:rsid w:val="00B81391"/>
    <w:rsid w:val="00B82D8F"/>
    <w:rsid w:val="00B85A88"/>
    <w:rsid w:val="00B85F6A"/>
    <w:rsid w:val="00B8608F"/>
    <w:rsid w:val="00B8774A"/>
    <w:rsid w:val="00B904D2"/>
    <w:rsid w:val="00B909E4"/>
    <w:rsid w:val="00B91696"/>
    <w:rsid w:val="00B91DC4"/>
    <w:rsid w:val="00B923F8"/>
    <w:rsid w:val="00B93DA0"/>
    <w:rsid w:val="00B93F91"/>
    <w:rsid w:val="00B93FF6"/>
    <w:rsid w:val="00B96AF2"/>
    <w:rsid w:val="00B96B84"/>
    <w:rsid w:val="00B971CC"/>
    <w:rsid w:val="00BA04B7"/>
    <w:rsid w:val="00BA130B"/>
    <w:rsid w:val="00BA1586"/>
    <w:rsid w:val="00BA15C8"/>
    <w:rsid w:val="00BA247B"/>
    <w:rsid w:val="00BA28FC"/>
    <w:rsid w:val="00BA33A7"/>
    <w:rsid w:val="00BA3D29"/>
    <w:rsid w:val="00BA3E0C"/>
    <w:rsid w:val="00BA49AA"/>
    <w:rsid w:val="00BA49F9"/>
    <w:rsid w:val="00BA607D"/>
    <w:rsid w:val="00BB17AC"/>
    <w:rsid w:val="00BB2B75"/>
    <w:rsid w:val="00BB321F"/>
    <w:rsid w:val="00BB39C5"/>
    <w:rsid w:val="00BB47D7"/>
    <w:rsid w:val="00BB6FBB"/>
    <w:rsid w:val="00BB75CC"/>
    <w:rsid w:val="00BB7D97"/>
    <w:rsid w:val="00BC06BC"/>
    <w:rsid w:val="00BC1416"/>
    <w:rsid w:val="00BC3720"/>
    <w:rsid w:val="00BC3E74"/>
    <w:rsid w:val="00BC47BC"/>
    <w:rsid w:val="00BC491F"/>
    <w:rsid w:val="00BC4CEB"/>
    <w:rsid w:val="00BC5C3E"/>
    <w:rsid w:val="00BC5EFD"/>
    <w:rsid w:val="00BC64A5"/>
    <w:rsid w:val="00BC7479"/>
    <w:rsid w:val="00BC7555"/>
    <w:rsid w:val="00BC7637"/>
    <w:rsid w:val="00BD05C1"/>
    <w:rsid w:val="00BD2D3B"/>
    <w:rsid w:val="00BD320A"/>
    <w:rsid w:val="00BD334C"/>
    <w:rsid w:val="00BD3B88"/>
    <w:rsid w:val="00BD45DD"/>
    <w:rsid w:val="00BD4932"/>
    <w:rsid w:val="00BD63FC"/>
    <w:rsid w:val="00BD6835"/>
    <w:rsid w:val="00BD735E"/>
    <w:rsid w:val="00BD7468"/>
    <w:rsid w:val="00BD7F20"/>
    <w:rsid w:val="00BE147E"/>
    <w:rsid w:val="00BE1F50"/>
    <w:rsid w:val="00BE2A7C"/>
    <w:rsid w:val="00BE34BD"/>
    <w:rsid w:val="00BE4DB2"/>
    <w:rsid w:val="00BE6776"/>
    <w:rsid w:val="00BE7191"/>
    <w:rsid w:val="00BE77ED"/>
    <w:rsid w:val="00BE7E5D"/>
    <w:rsid w:val="00BF164D"/>
    <w:rsid w:val="00BF1ED0"/>
    <w:rsid w:val="00BF2C46"/>
    <w:rsid w:val="00BF37B8"/>
    <w:rsid w:val="00BF3A3C"/>
    <w:rsid w:val="00BF4E65"/>
    <w:rsid w:val="00BF54FD"/>
    <w:rsid w:val="00BF5785"/>
    <w:rsid w:val="00BF5973"/>
    <w:rsid w:val="00C018F9"/>
    <w:rsid w:val="00C0280F"/>
    <w:rsid w:val="00C02852"/>
    <w:rsid w:val="00C0409A"/>
    <w:rsid w:val="00C06017"/>
    <w:rsid w:val="00C1538D"/>
    <w:rsid w:val="00C21222"/>
    <w:rsid w:val="00C2126F"/>
    <w:rsid w:val="00C246FA"/>
    <w:rsid w:val="00C24E39"/>
    <w:rsid w:val="00C25412"/>
    <w:rsid w:val="00C25A68"/>
    <w:rsid w:val="00C263EE"/>
    <w:rsid w:val="00C275A5"/>
    <w:rsid w:val="00C311B9"/>
    <w:rsid w:val="00C31821"/>
    <w:rsid w:val="00C329FC"/>
    <w:rsid w:val="00C32EBC"/>
    <w:rsid w:val="00C335AF"/>
    <w:rsid w:val="00C33EAC"/>
    <w:rsid w:val="00C35412"/>
    <w:rsid w:val="00C407B0"/>
    <w:rsid w:val="00C41E63"/>
    <w:rsid w:val="00C43C16"/>
    <w:rsid w:val="00C44830"/>
    <w:rsid w:val="00C44874"/>
    <w:rsid w:val="00C46946"/>
    <w:rsid w:val="00C46CF2"/>
    <w:rsid w:val="00C5028A"/>
    <w:rsid w:val="00C52869"/>
    <w:rsid w:val="00C528F6"/>
    <w:rsid w:val="00C55352"/>
    <w:rsid w:val="00C55A23"/>
    <w:rsid w:val="00C56685"/>
    <w:rsid w:val="00C56709"/>
    <w:rsid w:val="00C56BC0"/>
    <w:rsid w:val="00C56F3D"/>
    <w:rsid w:val="00C5766C"/>
    <w:rsid w:val="00C57829"/>
    <w:rsid w:val="00C60EDA"/>
    <w:rsid w:val="00C60F63"/>
    <w:rsid w:val="00C6115C"/>
    <w:rsid w:val="00C616CF"/>
    <w:rsid w:val="00C61E13"/>
    <w:rsid w:val="00C625C9"/>
    <w:rsid w:val="00C62B7A"/>
    <w:rsid w:val="00C65559"/>
    <w:rsid w:val="00C66170"/>
    <w:rsid w:val="00C66380"/>
    <w:rsid w:val="00C66F46"/>
    <w:rsid w:val="00C70AA4"/>
    <w:rsid w:val="00C70D06"/>
    <w:rsid w:val="00C70D34"/>
    <w:rsid w:val="00C70D48"/>
    <w:rsid w:val="00C716AD"/>
    <w:rsid w:val="00C71DCC"/>
    <w:rsid w:val="00C71E87"/>
    <w:rsid w:val="00C71EC3"/>
    <w:rsid w:val="00C72B6D"/>
    <w:rsid w:val="00C731FB"/>
    <w:rsid w:val="00C74446"/>
    <w:rsid w:val="00C76E5B"/>
    <w:rsid w:val="00C77D5A"/>
    <w:rsid w:val="00C77DB6"/>
    <w:rsid w:val="00C8025E"/>
    <w:rsid w:val="00C80A4F"/>
    <w:rsid w:val="00C8228F"/>
    <w:rsid w:val="00C836CA"/>
    <w:rsid w:val="00C8575D"/>
    <w:rsid w:val="00C85ED0"/>
    <w:rsid w:val="00C86067"/>
    <w:rsid w:val="00C86EFA"/>
    <w:rsid w:val="00C90780"/>
    <w:rsid w:val="00C90BD4"/>
    <w:rsid w:val="00C919A3"/>
    <w:rsid w:val="00C92785"/>
    <w:rsid w:val="00C93646"/>
    <w:rsid w:val="00C94821"/>
    <w:rsid w:val="00C95796"/>
    <w:rsid w:val="00C95A28"/>
    <w:rsid w:val="00C95ED1"/>
    <w:rsid w:val="00C96073"/>
    <w:rsid w:val="00C9716B"/>
    <w:rsid w:val="00C97678"/>
    <w:rsid w:val="00C97ABD"/>
    <w:rsid w:val="00CA1623"/>
    <w:rsid w:val="00CA3900"/>
    <w:rsid w:val="00CA3F9C"/>
    <w:rsid w:val="00CA432F"/>
    <w:rsid w:val="00CA4847"/>
    <w:rsid w:val="00CA5D11"/>
    <w:rsid w:val="00CA6385"/>
    <w:rsid w:val="00CA7196"/>
    <w:rsid w:val="00CA7524"/>
    <w:rsid w:val="00CA7A3C"/>
    <w:rsid w:val="00CA7EF3"/>
    <w:rsid w:val="00CB10AB"/>
    <w:rsid w:val="00CB116C"/>
    <w:rsid w:val="00CB11E2"/>
    <w:rsid w:val="00CB2B52"/>
    <w:rsid w:val="00CB2F98"/>
    <w:rsid w:val="00CB3DEF"/>
    <w:rsid w:val="00CB4871"/>
    <w:rsid w:val="00CB544F"/>
    <w:rsid w:val="00CB5566"/>
    <w:rsid w:val="00CB7B98"/>
    <w:rsid w:val="00CC0822"/>
    <w:rsid w:val="00CC0BAF"/>
    <w:rsid w:val="00CC145A"/>
    <w:rsid w:val="00CC2135"/>
    <w:rsid w:val="00CC52AB"/>
    <w:rsid w:val="00CC6D90"/>
    <w:rsid w:val="00CC7892"/>
    <w:rsid w:val="00CC7CD1"/>
    <w:rsid w:val="00CD0431"/>
    <w:rsid w:val="00CD04B8"/>
    <w:rsid w:val="00CD06BF"/>
    <w:rsid w:val="00CD152D"/>
    <w:rsid w:val="00CD19D3"/>
    <w:rsid w:val="00CD2647"/>
    <w:rsid w:val="00CD27BE"/>
    <w:rsid w:val="00CD2ABD"/>
    <w:rsid w:val="00CD3F9D"/>
    <w:rsid w:val="00CD4415"/>
    <w:rsid w:val="00CD45B2"/>
    <w:rsid w:val="00CD48EF"/>
    <w:rsid w:val="00CD4B69"/>
    <w:rsid w:val="00CD6335"/>
    <w:rsid w:val="00CD6823"/>
    <w:rsid w:val="00CD7B2C"/>
    <w:rsid w:val="00CE0FD8"/>
    <w:rsid w:val="00CE1B58"/>
    <w:rsid w:val="00CE270F"/>
    <w:rsid w:val="00CE37F2"/>
    <w:rsid w:val="00CE4353"/>
    <w:rsid w:val="00CE451F"/>
    <w:rsid w:val="00CE4AB8"/>
    <w:rsid w:val="00CE4C67"/>
    <w:rsid w:val="00CE4C69"/>
    <w:rsid w:val="00CE58FD"/>
    <w:rsid w:val="00CE5CC8"/>
    <w:rsid w:val="00CE5D3F"/>
    <w:rsid w:val="00CE60F2"/>
    <w:rsid w:val="00CE6B6F"/>
    <w:rsid w:val="00CE77C7"/>
    <w:rsid w:val="00CF0545"/>
    <w:rsid w:val="00CF060B"/>
    <w:rsid w:val="00CF12A4"/>
    <w:rsid w:val="00CF1716"/>
    <w:rsid w:val="00CF2024"/>
    <w:rsid w:val="00CF204E"/>
    <w:rsid w:val="00CF220F"/>
    <w:rsid w:val="00CF277A"/>
    <w:rsid w:val="00CF2902"/>
    <w:rsid w:val="00CF29E3"/>
    <w:rsid w:val="00CF354C"/>
    <w:rsid w:val="00CF4706"/>
    <w:rsid w:val="00CF4D78"/>
    <w:rsid w:val="00CF4DBC"/>
    <w:rsid w:val="00CF5116"/>
    <w:rsid w:val="00CF5897"/>
    <w:rsid w:val="00CF58A6"/>
    <w:rsid w:val="00CF5BA4"/>
    <w:rsid w:val="00CF5F5B"/>
    <w:rsid w:val="00CF61D2"/>
    <w:rsid w:val="00CF6E18"/>
    <w:rsid w:val="00D005AA"/>
    <w:rsid w:val="00D00B94"/>
    <w:rsid w:val="00D01071"/>
    <w:rsid w:val="00D010B1"/>
    <w:rsid w:val="00D01B2E"/>
    <w:rsid w:val="00D01B86"/>
    <w:rsid w:val="00D01C3E"/>
    <w:rsid w:val="00D02745"/>
    <w:rsid w:val="00D0304E"/>
    <w:rsid w:val="00D04416"/>
    <w:rsid w:val="00D046F0"/>
    <w:rsid w:val="00D0679C"/>
    <w:rsid w:val="00D0697B"/>
    <w:rsid w:val="00D0752B"/>
    <w:rsid w:val="00D11A73"/>
    <w:rsid w:val="00D13DC7"/>
    <w:rsid w:val="00D167ED"/>
    <w:rsid w:val="00D17089"/>
    <w:rsid w:val="00D17504"/>
    <w:rsid w:val="00D17548"/>
    <w:rsid w:val="00D17E4F"/>
    <w:rsid w:val="00D206B2"/>
    <w:rsid w:val="00D206C7"/>
    <w:rsid w:val="00D20853"/>
    <w:rsid w:val="00D20B15"/>
    <w:rsid w:val="00D21018"/>
    <w:rsid w:val="00D22EDF"/>
    <w:rsid w:val="00D249BC"/>
    <w:rsid w:val="00D25093"/>
    <w:rsid w:val="00D254CE"/>
    <w:rsid w:val="00D26A11"/>
    <w:rsid w:val="00D27337"/>
    <w:rsid w:val="00D2745D"/>
    <w:rsid w:val="00D2783A"/>
    <w:rsid w:val="00D3039C"/>
    <w:rsid w:val="00D30552"/>
    <w:rsid w:val="00D31C8A"/>
    <w:rsid w:val="00D31E05"/>
    <w:rsid w:val="00D33C56"/>
    <w:rsid w:val="00D34D42"/>
    <w:rsid w:val="00D34E6E"/>
    <w:rsid w:val="00D3529D"/>
    <w:rsid w:val="00D365A9"/>
    <w:rsid w:val="00D36E56"/>
    <w:rsid w:val="00D37590"/>
    <w:rsid w:val="00D37726"/>
    <w:rsid w:val="00D37DD2"/>
    <w:rsid w:val="00D37FBA"/>
    <w:rsid w:val="00D37FF0"/>
    <w:rsid w:val="00D42D87"/>
    <w:rsid w:val="00D46765"/>
    <w:rsid w:val="00D468A1"/>
    <w:rsid w:val="00D504FB"/>
    <w:rsid w:val="00D5162A"/>
    <w:rsid w:val="00D517D5"/>
    <w:rsid w:val="00D51827"/>
    <w:rsid w:val="00D524DC"/>
    <w:rsid w:val="00D52C36"/>
    <w:rsid w:val="00D52CD2"/>
    <w:rsid w:val="00D53135"/>
    <w:rsid w:val="00D53194"/>
    <w:rsid w:val="00D5321B"/>
    <w:rsid w:val="00D53511"/>
    <w:rsid w:val="00D53778"/>
    <w:rsid w:val="00D53C56"/>
    <w:rsid w:val="00D53FC0"/>
    <w:rsid w:val="00D542F9"/>
    <w:rsid w:val="00D54E75"/>
    <w:rsid w:val="00D55453"/>
    <w:rsid w:val="00D5587A"/>
    <w:rsid w:val="00D568FD"/>
    <w:rsid w:val="00D569C9"/>
    <w:rsid w:val="00D56CC8"/>
    <w:rsid w:val="00D57AFE"/>
    <w:rsid w:val="00D57CE4"/>
    <w:rsid w:val="00D61C44"/>
    <w:rsid w:val="00D62454"/>
    <w:rsid w:val="00D62477"/>
    <w:rsid w:val="00D648DA"/>
    <w:rsid w:val="00D64CAF"/>
    <w:rsid w:val="00D650F5"/>
    <w:rsid w:val="00D65E94"/>
    <w:rsid w:val="00D65F3B"/>
    <w:rsid w:val="00D66954"/>
    <w:rsid w:val="00D6695E"/>
    <w:rsid w:val="00D66CDE"/>
    <w:rsid w:val="00D673B8"/>
    <w:rsid w:val="00D71916"/>
    <w:rsid w:val="00D7218D"/>
    <w:rsid w:val="00D739AD"/>
    <w:rsid w:val="00D74341"/>
    <w:rsid w:val="00D7456F"/>
    <w:rsid w:val="00D751C8"/>
    <w:rsid w:val="00D7797A"/>
    <w:rsid w:val="00D77FE6"/>
    <w:rsid w:val="00D81552"/>
    <w:rsid w:val="00D81851"/>
    <w:rsid w:val="00D81FA1"/>
    <w:rsid w:val="00D831EB"/>
    <w:rsid w:val="00D84C49"/>
    <w:rsid w:val="00D859E5"/>
    <w:rsid w:val="00D85AD1"/>
    <w:rsid w:val="00D86ECE"/>
    <w:rsid w:val="00D9091F"/>
    <w:rsid w:val="00D90FD5"/>
    <w:rsid w:val="00D9107C"/>
    <w:rsid w:val="00D91748"/>
    <w:rsid w:val="00D91F9F"/>
    <w:rsid w:val="00D91FFB"/>
    <w:rsid w:val="00D92532"/>
    <w:rsid w:val="00D93AD0"/>
    <w:rsid w:val="00D95462"/>
    <w:rsid w:val="00D962E8"/>
    <w:rsid w:val="00D967DC"/>
    <w:rsid w:val="00D96901"/>
    <w:rsid w:val="00D97BC9"/>
    <w:rsid w:val="00D97BDA"/>
    <w:rsid w:val="00D97C73"/>
    <w:rsid w:val="00D97E11"/>
    <w:rsid w:val="00DA08E4"/>
    <w:rsid w:val="00DA1219"/>
    <w:rsid w:val="00DA1F63"/>
    <w:rsid w:val="00DA39BC"/>
    <w:rsid w:val="00DA461A"/>
    <w:rsid w:val="00DA48C4"/>
    <w:rsid w:val="00DA50D6"/>
    <w:rsid w:val="00DA5A7D"/>
    <w:rsid w:val="00DA65A0"/>
    <w:rsid w:val="00DA68DB"/>
    <w:rsid w:val="00DA6981"/>
    <w:rsid w:val="00DA6B03"/>
    <w:rsid w:val="00DB1071"/>
    <w:rsid w:val="00DB1340"/>
    <w:rsid w:val="00DB1659"/>
    <w:rsid w:val="00DB1774"/>
    <w:rsid w:val="00DB2C0B"/>
    <w:rsid w:val="00DB3B99"/>
    <w:rsid w:val="00DB4EB5"/>
    <w:rsid w:val="00DB6B37"/>
    <w:rsid w:val="00DB72D9"/>
    <w:rsid w:val="00DB7349"/>
    <w:rsid w:val="00DC1261"/>
    <w:rsid w:val="00DC1E0B"/>
    <w:rsid w:val="00DC2AF2"/>
    <w:rsid w:val="00DC2B52"/>
    <w:rsid w:val="00DC3822"/>
    <w:rsid w:val="00DC4F19"/>
    <w:rsid w:val="00DC502E"/>
    <w:rsid w:val="00DC782A"/>
    <w:rsid w:val="00DC7C2D"/>
    <w:rsid w:val="00DC7C8A"/>
    <w:rsid w:val="00DD396E"/>
    <w:rsid w:val="00DD409C"/>
    <w:rsid w:val="00DD58A8"/>
    <w:rsid w:val="00DD5D50"/>
    <w:rsid w:val="00DE06F3"/>
    <w:rsid w:val="00DE16C1"/>
    <w:rsid w:val="00DE257C"/>
    <w:rsid w:val="00DE4D7D"/>
    <w:rsid w:val="00DE56A4"/>
    <w:rsid w:val="00DE5C21"/>
    <w:rsid w:val="00DE5CEC"/>
    <w:rsid w:val="00DE6F20"/>
    <w:rsid w:val="00DF061B"/>
    <w:rsid w:val="00DF0C84"/>
    <w:rsid w:val="00DF18BD"/>
    <w:rsid w:val="00DF1AE3"/>
    <w:rsid w:val="00DF4031"/>
    <w:rsid w:val="00DF4707"/>
    <w:rsid w:val="00DF4E8C"/>
    <w:rsid w:val="00DF5678"/>
    <w:rsid w:val="00DF5EF3"/>
    <w:rsid w:val="00DF60A6"/>
    <w:rsid w:val="00DF6FE9"/>
    <w:rsid w:val="00E00736"/>
    <w:rsid w:val="00E01863"/>
    <w:rsid w:val="00E01B45"/>
    <w:rsid w:val="00E01C7D"/>
    <w:rsid w:val="00E01CEB"/>
    <w:rsid w:val="00E01F10"/>
    <w:rsid w:val="00E0263D"/>
    <w:rsid w:val="00E02874"/>
    <w:rsid w:val="00E06038"/>
    <w:rsid w:val="00E06976"/>
    <w:rsid w:val="00E06B0D"/>
    <w:rsid w:val="00E10109"/>
    <w:rsid w:val="00E11567"/>
    <w:rsid w:val="00E12174"/>
    <w:rsid w:val="00E12E2B"/>
    <w:rsid w:val="00E1477E"/>
    <w:rsid w:val="00E14C00"/>
    <w:rsid w:val="00E151D3"/>
    <w:rsid w:val="00E155D5"/>
    <w:rsid w:val="00E16950"/>
    <w:rsid w:val="00E16E8B"/>
    <w:rsid w:val="00E171A8"/>
    <w:rsid w:val="00E1768E"/>
    <w:rsid w:val="00E21596"/>
    <w:rsid w:val="00E2209F"/>
    <w:rsid w:val="00E220C3"/>
    <w:rsid w:val="00E224C5"/>
    <w:rsid w:val="00E2272B"/>
    <w:rsid w:val="00E237DD"/>
    <w:rsid w:val="00E2392A"/>
    <w:rsid w:val="00E241C7"/>
    <w:rsid w:val="00E25661"/>
    <w:rsid w:val="00E26095"/>
    <w:rsid w:val="00E301ED"/>
    <w:rsid w:val="00E302EB"/>
    <w:rsid w:val="00E3106D"/>
    <w:rsid w:val="00E312A8"/>
    <w:rsid w:val="00E31752"/>
    <w:rsid w:val="00E33CF2"/>
    <w:rsid w:val="00E34C64"/>
    <w:rsid w:val="00E3501E"/>
    <w:rsid w:val="00E35FAC"/>
    <w:rsid w:val="00E36534"/>
    <w:rsid w:val="00E36AB3"/>
    <w:rsid w:val="00E373A3"/>
    <w:rsid w:val="00E37943"/>
    <w:rsid w:val="00E407F3"/>
    <w:rsid w:val="00E416F8"/>
    <w:rsid w:val="00E41915"/>
    <w:rsid w:val="00E41A70"/>
    <w:rsid w:val="00E41B15"/>
    <w:rsid w:val="00E42DE8"/>
    <w:rsid w:val="00E447F9"/>
    <w:rsid w:val="00E45ED2"/>
    <w:rsid w:val="00E46932"/>
    <w:rsid w:val="00E478A9"/>
    <w:rsid w:val="00E527BA"/>
    <w:rsid w:val="00E55012"/>
    <w:rsid w:val="00E55A0B"/>
    <w:rsid w:val="00E56ABD"/>
    <w:rsid w:val="00E57773"/>
    <w:rsid w:val="00E612F0"/>
    <w:rsid w:val="00E6188C"/>
    <w:rsid w:val="00E618EF"/>
    <w:rsid w:val="00E63E3E"/>
    <w:rsid w:val="00E63FD6"/>
    <w:rsid w:val="00E641B3"/>
    <w:rsid w:val="00E66582"/>
    <w:rsid w:val="00E66EBF"/>
    <w:rsid w:val="00E67212"/>
    <w:rsid w:val="00E67CEF"/>
    <w:rsid w:val="00E708EE"/>
    <w:rsid w:val="00E70EEC"/>
    <w:rsid w:val="00E71130"/>
    <w:rsid w:val="00E714C6"/>
    <w:rsid w:val="00E71E4C"/>
    <w:rsid w:val="00E721A4"/>
    <w:rsid w:val="00E729B0"/>
    <w:rsid w:val="00E74BEA"/>
    <w:rsid w:val="00E75D84"/>
    <w:rsid w:val="00E761DA"/>
    <w:rsid w:val="00E77A70"/>
    <w:rsid w:val="00E80AD9"/>
    <w:rsid w:val="00E81B79"/>
    <w:rsid w:val="00E8215F"/>
    <w:rsid w:val="00E822F0"/>
    <w:rsid w:val="00E8259D"/>
    <w:rsid w:val="00E82991"/>
    <w:rsid w:val="00E82BDE"/>
    <w:rsid w:val="00E82D7B"/>
    <w:rsid w:val="00E8330B"/>
    <w:rsid w:val="00E8418B"/>
    <w:rsid w:val="00E84FCF"/>
    <w:rsid w:val="00E85A07"/>
    <w:rsid w:val="00E85A89"/>
    <w:rsid w:val="00E85FF1"/>
    <w:rsid w:val="00E86377"/>
    <w:rsid w:val="00E86994"/>
    <w:rsid w:val="00E91827"/>
    <w:rsid w:val="00E919E1"/>
    <w:rsid w:val="00E920DA"/>
    <w:rsid w:val="00E93D3F"/>
    <w:rsid w:val="00E945A4"/>
    <w:rsid w:val="00E94E37"/>
    <w:rsid w:val="00E95A02"/>
    <w:rsid w:val="00E966F7"/>
    <w:rsid w:val="00E96A15"/>
    <w:rsid w:val="00E97A0D"/>
    <w:rsid w:val="00EA0A4C"/>
    <w:rsid w:val="00EA0E34"/>
    <w:rsid w:val="00EA15D3"/>
    <w:rsid w:val="00EA28EE"/>
    <w:rsid w:val="00EA5C9A"/>
    <w:rsid w:val="00EA64A5"/>
    <w:rsid w:val="00EA6F83"/>
    <w:rsid w:val="00EA7AB7"/>
    <w:rsid w:val="00EA7E6E"/>
    <w:rsid w:val="00EB139A"/>
    <w:rsid w:val="00EB25CF"/>
    <w:rsid w:val="00EB2D1C"/>
    <w:rsid w:val="00EB3DEC"/>
    <w:rsid w:val="00EB68EF"/>
    <w:rsid w:val="00EB75CB"/>
    <w:rsid w:val="00EC097F"/>
    <w:rsid w:val="00EC12B0"/>
    <w:rsid w:val="00EC1D99"/>
    <w:rsid w:val="00EC2087"/>
    <w:rsid w:val="00EC264A"/>
    <w:rsid w:val="00EC2E92"/>
    <w:rsid w:val="00EC3C4A"/>
    <w:rsid w:val="00EC42B3"/>
    <w:rsid w:val="00EC43FB"/>
    <w:rsid w:val="00EC4F07"/>
    <w:rsid w:val="00EC57FC"/>
    <w:rsid w:val="00EC5938"/>
    <w:rsid w:val="00EC6AD2"/>
    <w:rsid w:val="00EC7DFD"/>
    <w:rsid w:val="00ED0768"/>
    <w:rsid w:val="00ED0B1F"/>
    <w:rsid w:val="00ED0E90"/>
    <w:rsid w:val="00ED144B"/>
    <w:rsid w:val="00ED1635"/>
    <w:rsid w:val="00ED22F1"/>
    <w:rsid w:val="00ED35E8"/>
    <w:rsid w:val="00ED3812"/>
    <w:rsid w:val="00ED4301"/>
    <w:rsid w:val="00ED4C36"/>
    <w:rsid w:val="00ED4C3E"/>
    <w:rsid w:val="00ED51F5"/>
    <w:rsid w:val="00ED59F7"/>
    <w:rsid w:val="00ED68DB"/>
    <w:rsid w:val="00ED746E"/>
    <w:rsid w:val="00ED7909"/>
    <w:rsid w:val="00ED7F11"/>
    <w:rsid w:val="00EE0407"/>
    <w:rsid w:val="00EE0B6E"/>
    <w:rsid w:val="00EE171F"/>
    <w:rsid w:val="00EE22B6"/>
    <w:rsid w:val="00EE3886"/>
    <w:rsid w:val="00EE4592"/>
    <w:rsid w:val="00EE4E5C"/>
    <w:rsid w:val="00EE51CB"/>
    <w:rsid w:val="00EE5AD9"/>
    <w:rsid w:val="00EE5D8B"/>
    <w:rsid w:val="00EE5DC3"/>
    <w:rsid w:val="00EE63B2"/>
    <w:rsid w:val="00EE738C"/>
    <w:rsid w:val="00EE7E11"/>
    <w:rsid w:val="00EF0A52"/>
    <w:rsid w:val="00EF0E9B"/>
    <w:rsid w:val="00EF13C1"/>
    <w:rsid w:val="00EF2EF3"/>
    <w:rsid w:val="00EF45D9"/>
    <w:rsid w:val="00EF47B1"/>
    <w:rsid w:val="00EF6B09"/>
    <w:rsid w:val="00EF799C"/>
    <w:rsid w:val="00F005F2"/>
    <w:rsid w:val="00F00BAC"/>
    <w:rsid w:val="00F00E7D"/>
    <w:rsid w:val="00F013ED"/>
    <w:rsid w:val="00F01A2C"/>
    <w:rsid w:val="00F02426"/>
    <w:rsid w:val="00F0276E"/>
    <w:rsid w:val="00F0284B"/>
    <w:rsid w:val="00F02FDB"/>
    <w:rsid w:val="00F05187"/>
    <w:rsid w:val="00F053EB"/>
    <w:rsid w:val="00F05E4F"/>
    <w:rsid w:val="00F0630E"/>
    <w:rsid w:val="00F078E5"/>
    <w:rsid w:val="00F10EA0"/>
    <w:rsid w:val="00F11F74"/>
    <w:rsid w:val="00F127CA"/>
    <w:rsid w:val="00F14231"/>
    <w:rsid w:val="00F143A1"/>
    <w:rsid w:val="00F1446A"/>
    <w:rsid w:val="00F14613"/>
    <w:rsid w:val="00F14AF9"/>
    <w:rsid w:val="00F15FB5"/>
    <w:rsid w:val="00F1646A"/>
    <w:rsid w:val="00F222DF"/>
    <w:rsid w:val="00F2306D"/>
    <w:rsid w:val="00F23CE7"/>
    <w:rsid w:val="00F23DA5"/>
    <w:rsid w:val="00F2460E"/>
    <w:rsid w:val="00F266FE"/>
    <w:rsid w:val="00F300B0"/>
    <w:rsid w:val="00F30649"/>
    <w:rsid w:val="00F30ACA"/>
    <w:rsid w:val="00F32850"/>
    <w:rsid w:val="00F32B93"/>
    <w:rsid w:val="00F338EA"/>
    <w:rsid w:val="00F339A4"/>
    <w:rsid w:val="00F344DA"/>
    <w:rsid w:val="00F35315"/>
    <w:rsid w:val="00F35C52"/>
    <w:rsid w:val="00F37806"/>
    <w:rsid w:val="00F4011D"/>
    <w:rsid w:val="00F4019E"/>
    <w:rsid w:val="00F40202"/>
    <w:rsid w:val="00F4068E"/>
    <w:rsid w:val="00F40ADB"/>
    <w:rsid w:val="00F40B64"/>
    <w:rsid w:val="00F41B73"/>
    <w:rsid w:val="00F4225E"/>
    <w:rsid w:val="00F427B7"/>
    <w:rsid w:val="00F42C6C"/>
    <w:rsid w:val="00F42E14"/>
    <w:rsid w:val="00F441D8"/>
    <w:rsid w:val="00F44D17"/>
    <w:rsid w:val="00F45360"/>
    <w:rsid w:val="00F455C7"/>
    <w:rsid w:val="00F45AF8"/>
    <w:rsid w:val="00F464F1"/>
    <w:rsid w:val="00F4767A"/>
    <w:rsid w:val="00F47A1F"/>
    <w:rsid w:val="00F50ACD"/>
    <w:rsid w:val="00F51289"/>
    <w:rsid w:val="00F53650"/>
    <w:rsid w:val="00F53D81"/>
    <w:rsid w:val="00F54565"/>
    <w:rsid w:val="00F563A8"/>
    <w:rsid w:val="00F56C8C"/>
    <w:rsid w:val="00F56EF5"/>
    <w:rsid w:val="00F57680"/>
    <w:rsid w:val="00F57755"/>
    <w:rsid w:val="00F61C77"/>
    <w:rsid w:val="00F62065"/>
    <w:rsid w:val="00F62B7A"/>
    <w:rsid w:val="00F6357F"/>
    <w:rsid w:val="00F65FEC"/>
    <w:rsid w:val="00F66094"/>
    <w:rsid w:val="00F6637E"/>
    <w:rsid w:val="00F67A86"/>
    <w:rsid w:val="00F71330"/>
    <w:rsid w:val="00F71937"/>
    <w:rsid w:val="00F71A06"/>
    <w:rsid w:val="00F738B8"/>
    <w:rsid w:val="00F73A25"/>
    <w:rsid w:val="00F741A9"/>
    <w:rsid w:val="00F745F8"/>
    <w:rsid w:val="00F74E6A"/>
    <w:rsid w:val="00F751AB"/>
    <w:rsid w:val="00F756F8"/>
    <w:rsid w:val="00F76897"/>
    <w:rsid w:val="00F773B6"/>
    <w:rsid w:val="00F77445"/>
    <w:rsid w:val="00F80DE3"/>
    <w:rsid w:val="00F81506"/>
    <w:rsid w:val="00F82EA1"/>
    <w:rsid w:val="00F82F3F"/>
    <w:rsid w:val="00F8300A"/>
    <w:rsid w:val="00F8328E"/>
    <w:rsid w:val="00F83317"/>
    <w:rsid w:val="00F83957"/>
    <w:rsid w:val="00F841CE"/>
    <w:rsid w:val="00F84739"/>
    <w:rsid w:val="00F84A2C"/>
    <w:rsid w:val="00F86830"/>
    <w:rsid w:val="00F878E3"/>
    <w:rsid w:val="00F87E50"/>
    <w:rsid w:val="00F91C5B"/>
    <w:rsid w:val="00F92A40"/>
    <w:rsid w:val="00FA0840"/>
    <w:rsid w:val="00FA13A7"/>
    <w:rsid w:val="00FA1897"/>
    <w:rsid w:val="00FA2D6C"/>
    <w:rsid w:val="00FA3625"/>
    <w:rsid w:val="00FA3742"/>
    <w:rsid w:val="00FA384D"/>
    <w:rsid w:val="00FA3FA4"/>
    <w:rsid w:val="00FA413C"/>
    <w:rsid w:val="00FA445A"/>
    <w:rsid w:val="00FA46DA"/>
    <w:rsid w:val="00FA5556"/>
    <w:rsid w:val="00FA7E34"/>
    <w:rsid w:val="00FB027D"/>
    <w:rsid w:val="00FB07A0"/>
    <w:rsid w:val="00FB1088"/>
    <w:rsid w:val="00FB1CA7"/>
    <w:rsid w:val="00FB2873"/>
    <w:rsid w:val="00FB4085"/>
    <w:rsid w:val="00FB506F"/>
    <w:rsid w:val="00FB5071"/>
    <w:rsid w:val="00FB57D8"/>
    <w:rsid w:val="00FB6158"/>
    <w:rsid w:val="00FC0068"/>
    <w:rsid w:val="00FC0A21"/>
    <w:rsid w:val="00FC1D2A"/>
    <w:rsid w:val="00FC2615"/>
    <w:rsid w:val="00FC32A5"/>
    <w:rsid w:val="00FC3AFC"/>
    <w:rsid w:val="00FC5065"/>
    <w:rsid w:val="00FC653F"/>
    <w:rsid w:val="00FC7A09"/>
    <w:rsid w:val="00FC7D24"/>
    <w:rsid w:val="00FD1A6C"/>
    <w:rsid w:val="00FD1DD1"/>
    <w:rsid w:val="00FD2512"/>
    <w:rsid w:val="00FD46EC"/>
    <w:rsid w:val="00FD5EA9"/>
    <w:rsid w:val="00FD7925"/>
    <w:rsid w:val="00FE0BFD"/>
    <w:rsid w:val="00FE0CDE"/>
    <w:rsid w:val="00FE1354"/>
    <w:rsid w:val="00FE1A25"/>
    <w:rsid w:val="00FE2852"/>
    <w:rsid w:val="00FE29C3"/>
    <w:rsid w:val="00FE2B0F"/>
    <w:rsid w:val="00FE2C42"/>
    <w:rsid w:val="00FE2E44"/>
    <w:rsid w:val="00FE3F2F"/>
    <w:rsid w:val="00FE450F"/>
    <w:rsid w:val="00FE4BE7"/>
    <w:rsid w:val="00FE661E"/>
    <w:rsid w:val="00FE6702"/>
    <w:rsid w:val="00FF10BD"/>
    <w:rsid w:val="00FF1178"/>
    <w:rsid w:val="00FF2EC4"/>
    <w:rsid w:val="00FF349A"/>
    <w:rsid w:val="00FF4FAE"/>
    <w:rsid w:val="00FF54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202D3"/>
  <w15:docId w15:val="{DCA6B3C7-18D1-4EC1-BAC1-B5E1AE1A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t-B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07D"/>
    <w:rPr>
      <w:lang w:val="en-US"/>
    </w:rPr>
  </w:style>
  <w:style w:type="paragraph" w:styleId="Ttulo1">
    <w:name w:val="heading 1"/>
    <w:basedOn w:val="Normal"/>
    <w:next w:val="Normal"/>
    <w:link w:val="Ttulo1Char"/>
    <w:uiPriority w:val="9"/>
    <w:qFormat/>
    <w:rsid w:val="00BA607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BA607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unhideWhenUsed/>
    <w:qFormat/>
    <w:rsid w:val="00BA607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har"/>
    <w:uiPriority w:val="9"/>
    <w:semiHidden/>
    <w:unhideWhenUsed/>
    <w:qFormat/>
    <w:rsid w:val="00BA607D"/>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semiHidden/>
    <w:unhideWhenUsed/>
    <w:qFormat/>
    <w:rsid w:val="00BA607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har"/>
    <w:uiPriority w:val="9"/>
    <w:semiHidden/>
    <w:unhideWhenUsed/>
    <w:qFormat/>
    <w:rsid w:val="00BA607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har"/>
    <w:uiPriority w:val="9"/>
    <w:semiHidden/>
    <w:unhideWhenUsed/>
    <w:qFormat/>
    <w:rsid w:val="00BA607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har"/>
    <w:uiPriority w:val="9"/>
    <w:semiHidden/>
    <w:unhideWhenUsed/>
    <w:qFormat/>
    <w:rsid w:val="00BA607D"/>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har"/>
    <w:uiPriority w:val="9"/>
    <w:semiHidden/>
    <w:unhideWhenUsed/>
    <w:qFormat/>
    <w:rsid w:val="00BA607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73540"/>
    <w:rPr>
      <w:color w:val="0563C1" w:themeColor="hyperlink"/>
      <w:u w:val="single"/>
    </w:rPr>
  </w:style>
  <w:style w:type="character" w:styleId="MenoPendente">
    <w:name w:val="Unresolved Mention"/>
    <w:basedOn w:val="Fontepargpadro"/>
    <w:uiPriority w:val="99"/>
    <w:semiHidden/>
    <w:unhideWhenUsed/>
    <w:rsid w:val="00373540"/>
    <w:rPr>
      <w:color w:val="605E5C"/>
      <w:shd w:val="clear" w:color="auto" w:fill="E1DFDD"/>
    </w:rPr>
  </w:style>
  <w:style w:type="paragraph" w:styleId="Textodebalo">
    <w:name w:val="Balloon Text"/>
    <w:basedOn w:val="Normal"/>
    <w:link w:val="TextodebaloChar"/>
    <w:uiPriority w:val="99"/>
    <w:semiHidden/>
    <w:unhideWhenUsed/>
    <w:rsid w:val="008F542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F542F"/>
    <w:rPr>
      <w:rFonts w:ascii="Segoe UI" w:hAnsi="Segoe UI" w:cs="Segoe UI"/>
      <w:sz w:val="18"/>
      <w:szCs w:val="18"/>
    </w:rPr>
  </w:style>
  <w:style w:type="character" w:styleId="Forte">
    <w:name w:val="Strong"/>
    <w:basedOn w:val="Fontepargpadro"/>
    <w:uiPriority w:val="22"/>
    <w:qFormat/>
    <w:rsid w:val="00BA607D"/>
    <w:rPr>
      <w:b/>
      <w:bCs/>
    </w:rPr>
  </w:style>
  <w:style w:type="paragraph" w:customStyle="1" w:styleId="Default">
    <w:name w:val="Default"/>
    <w:rsid w:val="00B60438"/>
    <w:pPr>
      <w:autoSpaceDE w:val="0"/>
      <w:autoSpaceDN w:val="0"/>
      <w:adjustRightInd w:val="0"/>
      <w:spacing w:after="0" w:line="240" w:lineRule="auto"/>
    </w:pPr>
    <w:rPr>
      <w:rFonts w:ascii="EC Square Sans Pro" w:hAnsi="EC Square Sans Pro" w:cs="EC Square Sans Pro"/>
      <w:color w:val="000000"/>
      <w:sz w:val="24"/>
      <w:szCs w:val="24"/>
    </w:rPr>
  </w:style>
  <w:style w:type="paragraph" w:styleId="PargrafodaLista">
    <w:name w:val="List Paragraph"/>
    <w:basedOn w:val="Normal"/>
    <w:uiPriority w:val="34"/>
    <w:qFormat/>
    <w:rsid w:val="000B3D58"/>
    <w:pPr>
      <w:ind w:left="720"/>
      <w:contextualSpacing/>
    </w:pPr>
  </w:style>
  <w:style w:type="character" w:styleId="nfaseSutil">
    <w:name w:val="Subtle Emphasis"/>
    <w:basedOn w:val="Fontepargpadro"/>
    <w:uiPriority w:val="19"/>
    <w:qFormat/>
    <w:rsid w:val="00BA607D"/>
    <w:rPr>
      <w:i/>
      <w:iCs/>
      <w:color w:val="404040" w:themeColor="text1" w:themeTint="BF"/>
    </w:rPr>
  </w:style>
  <w:style w:type="paragraph" w:styleId="Textodecomentrio">
    <w:name w:val="annotation text"/>
    <w:basedOn w:val="Normal"/>
    <w:link w:val="TextodecomentrioChar"/>
    <w:uiPriority w:val="99"/>
    <w:unhideWhenUsed/>
    <w:rsid w:val="00C71E87"/>
    <w:pPr>
      <w:spacing w:line="240" w:lineRule="auto"/>
    </w:pPr>
  </w:style>
  <w:style w:type="character" w:customStyle="1" w:styleId="TextodecomentrioChar">
    <w:name w:val="Texto de comentário Char"/>
    <w:basedOn w:val="Fontepargpadro"/>
    <w:link w:val="Textodecomentrio"/>
    <w:uiPriority w:val="99"/>
    <w:rsid w:val="00C71E87"/>
    <w:rPr>
      <w:sz w:val="20"/>
      <w:szCs w:val="20"/>
    </w:rPr>
  </w:style>
  <w:style w:type="character" w:styleId="Refdecomentrio">
    <w:name w:val="annotation reference"/>
    <w:basedOn w:val="Fontepargpadro"/>
    <w:uiPriority w:val="99"/>
    <w:semiHidden/>
    <w:unhideWhenUsed/>
    <w:rsid w:val="008E13C2"/>
    <w:rPr>
      <w:sz w:val="16"/>
      <w:szCs w:val="16"/>
    </w:rPr>
  </w:style>
  <w:style w:type="character" w:customStyle="1" w:styleId="Ttulo1Char">
    <w:name w:val="Título 1 Char"/>
    <w:basedOn w:val="Fontepargpadro"/>
    <w:link w:val="Ttulo1"/>
    <w:uiPriority w:val="9"/>
    <w:rsid w:val="00BA607D"/>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BA607D"/>
    <w:rPr>
      <w:rFonts w:asciiTheme="majorHAnsi" w:eastAsiaTheme="majorEastAsia" w:hAnsiTheme="majorHAnsi" w:cstheme="majorBidi"/>
      <w:color w:val="404040" w:themeColor="text1" w:themeTint="BF"/>
      <w:sz w:val="28"/>
      <w:szCs w:val="28"/>
    </w:rPr>
  </w:style>
  <w:style w:type="character" w:customStyle="1" w:styleId="Ttulo3Char">
    <w:name w:val="Título 3 Char"/>
    <w:basedOn w:val="Fontepargpadro"/>
    <w:link w:val="Ttulo3"/>
    <w:uiPriority w:val="9"/>
    <w:rsid w:val="00BA607D"/>
    <w:rPr>
      <w:rFonts w:asciiTheme="majorHAnsi" w:eastAsiaTheme="majorEastAsia" w:hAnsiTheme="majorHAnsi" w:cstheme="majorBidi"/>
      <w:color w:val="44546A" w:themeColor="text2"/>
      <w:sz w:val="24"/>
      <w:szCs w:val="24"/>
    </w:rPr>
  </w:style>
  <w:style w:type="character" w:customStyle="1" w:styleId="Ttulo4Char">
    <w:name w:val="Título 4 Char"/>
    <w:basedOn w:val="Fontepargpadro"/>
    <w:link w:val="Ttulo4"/>
    <w:uiPriority w:val="9"/>
    <w:semiHidden/>
    <w:rsid w:val="00BA607D"/>
    <w:rPr>
      <w:rFonts w:asciiTheme="majorHAnsi" w:eastAsiaTheme="majorEastAsia" w:hAnsiTheme="majorHAnsi" w:cstheme="majorBidi"/>
      <w:sz w:val="22"/>
      <w:szCs w:val="22"/>
    </w:rPr>
  </w:style>
  <w:style w:type="character" w:customStyle="1" w:styleId="Ttulo5Char">
    <w:name w:val="Título 5 Char"/>
    <w:basedOn w:val="Fontepargpadro"/>
    <w:link w:val="Ttulo5"/>
    <w:uiPriority w:val="9"/>
    <w:semiHidden/>
    <w:rsid w:val="00BA607D"/>
    <w:rPr>
      <w:rFonts w:asciiTheme="majorHAnsi" w:eastAsiaTheme="majorEastAsia" w:hAnsiTheme="majorHAnsi" w:cstheme="majorBidi"/>
      <w:color w:val="44546A" w:themeColor="text2"/>
      <w:sz w:val="22"/>
      <w:szCs w:val="22"/>
    </w:rPr>
  </w:style>
  <w:style w:type="character" w:customStyle="1" w:styleId="Ttulo6Char">
    <w:name w:val="Título 6 Char"/>
    <w:basedOn w:val="Fontepargpadro"/>
    <w:link w:val="Ttulo6"/>
    <w:uiPriority w:val="9"/>
    <w:semiHidden/>
    <w:rsid w:val="00BA607D"/>
    <w:rPr>
      <w:rFonts w:asciiTheme="majorHAnsi" w:eastAsiaTheme="majorEastAsia" w:hAnsiTheme="majorHAnsi" w:cstheme="majorBidi"/>
      <w:i/>
      <w:iCs/>
      <w:color w:val="44546A" w:themeColor="text2"/>
      <w:sz w:val="21"/>
      <w:szCs w:val="21"/>
    </w:rPr>
  </w:style>
  <w:style w:type="character" w:customStyle="1" w:styleId="Ttulo7Char">
    <w:name w:val="Título 7 Char"/>
    <w:basedOn w:val="Fontepargpadro"/>
    <w:link w:val="Ttulo7"/>
    <w:uiPriority w:val="9"/>
    <w:semiHidden/>
    <w:rsid w:val="00BA607D"/>
    <w:rPr>
      <w:rFonts w:asciiTheme="majorHAnsi" w:eastAsiaTheme="majorEastAsia" w:hAnsiTheme="majorHAnsi" w:cstheme="majorBidi"/>
      <w:i/>
      <w:iCs/>
      <w:color w:val="1F3864" w:themeColor="accent1" w:themeShade="80"/>
      <w:sz w:val="21"/>
      <w:szCs w:val="21"/>
    </w:rPr>
  </w:style>
  <w:style w:type="character" w:customStyle="1" w:styleId="Ttulo8Char">
    <w:name w:val="Título 8 Char"/>
    <w:basedOn w:val="Fontepargpadro"/>
    <w:link w:val="Ttulo8"/>
    <w:uiPriority w:val="9"/>
    <w:semiHidden/>
    <w:rsid w:val="00BA607D"/>
    <w:rPr>
      <w:rFonts w:asciiTheme="majorHAnsi" w:eastAsiaTheme="majorEastAsia" w:hAnsiTheme="majorHAnsi" w:cstheme="majorBidi"/>
      <w:b/>
      <w:bCs/>
      <w:color w:val="44546A" w:themeColor="text2"/>
    </w:rPr>
  </w:style>
  <w:style w:type="character" w:customStyle="1" w:styleId="Ttulo9Char">
    <w:name w:val="Título 9 Char"/>
    <w:basedOn w:val="Fontepargpadro"/>
    <w:link w:val="Ttulo9"/>
    <w:uiPriority w:val="9"/>
    <w:semiHidden/>
    <w:rsid w:val="00BA607D"/>
    <w:rPr>
      <w:rFonts w:asciiTheme="majorHAnsi" w:eastAsiaTheme="majorEastAsia" w:hAnsiTheme="majorHAnsi" w:cstheme="majorBidi"/>
      <w:b/>
      <w:bCs/>
      <w:i/>
      <w:iCs/>
      <w:color w:val="44546A" w:themeColor="text2"/>
    </w:rPr>
  </w:style>
  <w:style w:type="paragraph" w:styleId="SemEspaamento">
    <w:name w:val="No Spacing"/>
    <w:uiPriority w:val="1"/>
    <w:qFormat/>
    <w:rsid w:val="00BA607D"/>
    <w:pPr>
      <w:spacing w:after="0" w:line="240" w:lineRule="auto"/>
    </w:pPr>
  </w:style>
  <w:style w:type="paragraph" w:styleId="Ttulo">
    <w:name w:val="Title"/>
    <w:basedOn w:val="Normal"/>
    <w:next w:val="Normal"/>
    <w:link w:val="TtuloChar"/>
    <w:uiPriority w:val="10"/>
    <w:qFormat/>
    <w:rsid w:val="00BA607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har">
    <w:name w:val="Título Char"/>
    <w:basedOn w:val="Fontepargpadro"/>
    <w:link w:val="Ttulo"/>
    <w:uiPriority w:val="10"/>
    <w:rsid w:val="00BA607D"/>
    <w:rPr>
      <w:rFonts w:asciiTheme="majorHAnsi" w:eastAsiaTheme="majorEastAsia" w:hAnsiTheme="majorHAnsi" w:cstheme="majorBidi"/>
      <w:color w:val="4472C4" w:themeColor="accent1"/>
      <w:spacing w:val="-10"/>
      <w:sz w:val="56"/>
      <w:szCs w:val="56"/>
    </w:rPr>
  </w:style>
  <w:style w:type="character" w:styleId="nfase">
    <w:name w:val="Emphasis"/>
    <w:basedOn w:val="Fontepargpadro"/>
    <w:uiPriority w:val="20"/>
    <w:qFormat/>
    <w:rsid w:val="00BA607D"/>
    <w:rPr>
      <w:i/>
      <w:iCs/>
    </w:rPr>
  </w:style>
  <w:style w:type="paragraph" w:styleId="Subttulo">
    <w:name w:val="Subtitle"/>
    <w:basedOn w:val="Normal"/>
    <w:next w:val="Normal"/>
    <w:link w:val="SubttuloChar"/>
    <w:uiPriority w:val="11"/>
    <w:qFormat/>
    <w:rsid w:val="00BA607D"/>
    <w:pPr>
      <w:numPr>
        <w:ilvl w:val="1"/>
      </w:numPr>
      <w:spacing w:line="240" w:lineRule="auto"/>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BA607D"/>
    <w:rPr>
      <w:rFonts w:asciiTheme="majorHAnsi" w:eastAsiaTheme="majorEastAsia" w:hAnsiTheme="majorHAnsi" w:cstheme="majorBidi"/>
      <w:sz w:val="24"/>
      <w:szCs w:val="24"/>
    </w:rPr>
  </w:style>
  <w:style w:type="paragraph" w:styleId="Cabealho">
    <w:name w:val="header"/>
    <w:basedOn w:val="Normal"/>
    <w:link w:val="CabealhoChar"/>
    <w:uiPriority w:val="99"/>
    <w:unhideWhenUsed/>
    <w:rsid w:val="009206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065E"/>
  </w:style>
  <w:style w:type="paragraph" w:styleId="Rodap">
    <w:name w:val="footer"/>
    <w:basedOn w:val="Normal"/>
    <w:link w:val="RodapChar"/>
    <w:uiPriority w:val="99"/>
    <w:unhideWhenUsed/>
    <w:rsid w:val="0092065E"/>
    <w:pPr>
      <w:tabs>
        <w:tab w:val="center" w:pos="4252"/>
        <w:tab w:val="right" w:pos="8504"/>
      </w:tabs>
      <w:spacing w:after="0" w:line="240" w:lineRule="auto"/>
    </w:pPr>
  </w:style>
  <w:style w:type="character" w:customStyle="1" w:styleId="RodapChar">
    <w:name w:val="Rodapé Char"/>
    <w:basedOn w:val="Fontepargpadro"/>
    <w:link w:val="Rodap"/>
    <w:uiPriority w:val="99"/>
    <w:rsid w:val="0092065E"/>
  </w:style>
  <w:style w:type="paragraph" w:styleId="Assuntodocomentrio">
    <w:name w:val="annotation subject"/>
    <w:basedOn w:val="Textodecomentrio"/>
    <w:next w:val="Textodecomentrio"/>
    <w:link w:val="AssuntodocomentrioChar"/>
    <w:uiPriority w:val="99"/>
    <w:semiHidden/>
    <w:unhideWhenUsed/>
    <w:rsid w:val="00A17269"/>
    <w:rPr>
      <w:b/>
      <w:bCs/>
    </w:rPr>
  </w:style>
  <w:style w:type="character" w:customStyle="1" w:styleId="AssuntodocomentrioChar">
    <w:name w:val="Assunto do comentário Char"/>
    <w:basedOn w:val="TextodecomentrioChar"/>
    <w:link w:val="Assuntodocomentrio"/>
    <w:uiPriority w:val="99"/>
    <w:semiHidden/>
    <w:rsid w:val="00A17269"/>
    <w:rPr>
      <w:b/>
      <w:bCs/>
      <w:sz w:val="20"/>
      <w:szCs w:val="20"/>
    </w:rPr>
  </w:style>
  <w:style w:type="paragraph" w:styleId="Reviso">
    <w:name w:val="Revision"/>
    <w:hidden/>
    <w:uiPriority w:val="99"/>
    <w:semiHidden/>
    <w:rsid w:val="00290168"/>
    <w:pPr>
      <w:spacing w:after="0" w:line="240" w:lineRule="auto"/>
    </w:pPr>
  </w:style>
  <w:style w:type="paragraph" w:customStyle="1" w:styleId="c-author-listitem">
    <w:name w:val="c-author-list__item"/>
    <w:basedOn w:val="Normal"/>
    <w:rsid w:val="00077475"/>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paragraph" w:customStyle="1" w:styleId="c-article-info-details">
    <w:name w:val="c-article-info-details"/>
    <w:basedOn w:val="Normal"/>
    <w:rsid w:val="00077475"/>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u-visually-hidden">
    <w:name w:val="u-visually-hidden"/>
    <w:basedOn w:val="Fontepargpadro"/>
    <w:rsid w:val="00077475"/>
  </w:style>
  <w:style w:type="paragraph" w:customStyle="1" w:styleId="nova-e-listitem">
    <w:name w:val="nova-e-list__item"/>
    <w:basedOn w:val="Normal"/>
    <w:rsid w:val="00C94821"/>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cit">
    <w:name w:val="cit"/>
    <w:basedOn w:val="Fontepargpadro"/>
    <w:rsid w:val="00C94821"/>
  </w:style>
  <w:style w:type="character" w:customStyle="1" w:styleId="fm-vol-iss-date">
    <w:name w:val="fm-vol-iss-date"/>
    <w:basedOn w:val="Fontepargpadro"/>
    <w:rsid w:val="00C94821"/>
  </w:style>
  <w:style w:type="character" w:customStyle="1" w:styleId="doi">
    <w:name w:val="doi"/>
    <w:basedOn w:val="Fontepargpadro"/>
    <w:rsid w:val="00C94821"/>
  </w:style>
  <w:style w:type="character" w:customStyle="1" w:styleId="xref">
    <w:name w:val="xref"/>
    <w:basedOn w:val="Fontepargpadro"/>
    <w:rsid w:val="000760E6"/>
  </w:style>
  <w:style w:type="character" w:customStyle="1" w:styleId="author-sup-separator">
    <w:name w:val="author-sup-separator"/>
    <w:basedOn w:val="Fontepargpadro"/>
    <w:rsid w:val="00F013ED"/>
  </w:style>
  <w:style w:type="paragraph" w:styleId="Legenda">
    <w:name w:val="caption"/>
    <w:basedOn w:val="Normal"/>
    <w:next w:val="Normal"/>
    <w:uiPriority w:val="35"/>
    <w:unhideWhenUsed/>
    <w:qFormat/>
    <w:rsid w:val="00BA607D"/>
    <w:pPr>
      <w:spacing w:line="240" w:lineRule="auto"/>
    </w:pPr>
    <w:rPr>
      <w:b/>
      <w:bCs/>
      <w:smallCaps/>
      <w:color w:val="595959" w:themeColor="text1" w:themeTint="A6"/>
      <w:spacing w:val="6"/>
    </w:rPr>
  </w:style>
  <w:style w:type="paragraph" w:styleId="Textodenotaderodap">
    <w:name w:val="footnote text"/>
    <w:basedOn w:val="Normal"/>
    <w:link w:val="TextodenotaderodapChar"/>
    <w:uiPriority w:val="99"/>
    <w:semiHidden/>
    <w:unhideWhenUsed/>
    <w:rsid w:val="004E153C"/>
    <w:pPr>
      <w:spacing w:after="0" w:line="240" w:lineRule="auto"/>
    </w:pPr>
  </w:style>
  <w:style w:type="character" w:customStyle="1" w:styleId="TextodenotaderodapChar">
    <w:name w:val="Texto de nota de rodapé Char"/>
    <w:basedOn w:val="Fontepargpadro"/>
    <w:link w:val="Textodenotaderodap"/>
    <w:uiPriority w:val="99"/>
    <w:semiHidden/>
    <w:rsid w:val="004E153C"/>
    <w:rPr>
      <w:sz w:val="20"/>
      <w:szCs w:val="20"/>
    </w:rPr>
  </w:style>
  <w:style w:type="character" w:styleId="Refdenotaderodap">
    <w:name w:val="footnote reference"/>
    <w:basedOn w:val="Fontepargpadro"/>
    <w:uiPriority w:val="99"/>
    <w:semiHidden/>
    <w:unhideWhenUsed/>
    <w:rsid w:val="004E153C"/>
    <w:rPr>
      <w:vertAlign w:val="superscript"/>
    </w:rPr>
  </w:style>
  <w:style w:type="numbering" w:customStyle="1" w:styleId="Listaatual1">
    <w:name w:val="Lista atual1"/>
    <w:uiPriority w:val="99"/>
    <w:rsid w:val="002F5766"/>
    <w:pPr>
      <w:numPr>
        <w:numId w:val="3"/>
      </w:numPr>
    </w:pPr>
  </w:style>
  <w:style w:type="character" w:styleId="TextodoEspaoReservado">
    <w:name w:val="Placeholder Text"/>
    <w:basedOn w:val="Fontepargpadro"/>
    <w:uiPriority w:val="99"/>
    <w:semiHidden/>
    <w:rsid w:val="00061BB9"/>
    <w:rPr>
      <w:color w:val="808080"/>
    </w:rPr>
  </w:style>
  <w:style w:type="paragraph" w:styleId="Citao">
    <w:name w:val="Quote"/>
    <w:basedOn w:val="Normal"/>
    <w:next w:val="Normal"/>
    <w:link w:val="CitaoChar"/>
    <w:uiPriority w:val="29"/>
    <w:qFormat/>
    <w:rsid w:val="00BA607D"/>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BA607D"/>
    <w:rPr>
      <w:i/>
      <w:iCs/>
      <w:color w:val="404040" w:themeColor="text1" w:themeTint="BF"/>
    </w:rPr>
  </w:style>
  <w:style w:type="paragraph" w:styleId="CitaoIntensa">
    <w:name w:val="Intense Quote"/>
    <w:basedOn w:val="Normal"/>
    <w:next w:val="Normal"/>
    <w:link w:val="CitaoIntensaChar"/>
    <w:uiPriority w:val="30"/>
    <w:qFormat/>
    <w:rsid w:val="00BA607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oIntensaChar">
    <w:name w:val="Citação Intensa Char"/>
    <w:basedOn w:val="Fontepargpadro"/>
    <w:link w:val="CitaoIntensa"/>
    <w:uiPriority w:val="30"/>
    <w:rsid w:val="00BA607D"/>
    <w:rPr>
      <w:rFonts w:asciiTheme="majorHAnsi" w:eastAsiaTheme="majorEastAsia" w:hAnsiTheme="majorHAnsi" w:cstheme="majorBidi"/>
      <w:color w:val="4472C4" w:themeColor="accent1"/>
      <w:sz w:val="28"/>
      <w:szCs w:val="28"/>
    </w:rPr>
  </w:style>
  <w:style w:type="character" w:styleId="nfaseIntensa">
    <w:name w:val="Intense Emphasis"/>
    <w:basedOn w:val="Fontepargpadro"/>
    <w:uiPriority w:val="21"/>
    <w:qFormat/>
    <w:rsid w:val="00BA607D"/>
    <w:rPr>
      <w:b/>
      <w:bCs/>
      <w:i/>
      <w:iCs/>
    </w:rPr>
  </w:style>
  <w:style w:type="character" w:styleId="RefernciaSutil">
    <w:name w:val="Subtle Reference"/>
    <w:basedOn w:val="Fontepargpadro"/>
    <w:uiPriority w:val="31"/>
    <w:qFormat/>
    <w:rsid w:val="00BA607D"/>
    <w:rPr>
      <w:smallCaps/>
      <w:color w:val="404040" w:themeColor="text1" w:themeTint="BF"/>
      <w:u w:val="single" w:color="7F7F7F" w:themeColor="text1" w:themeTint="80"/>
    </w:rPr>
  </w:style>
  <w:style w:type="character" w:styleId="RefernciaIntensa">
    <w:name w:val="Intense Reference"/>
    <w:basedOn w:val="Fontepargpadro"/>
    <w:uiPriority w:val="32"/>
    <w:qFormat/>
    <w:rsid w:val="00BA607D"/>
    <w:rPr>
      <w:b/>
      <w:bCs/>
      <w:smallCaps/>
      <w:spacing w:val="5"/>
      <w:u w:val="single"/>
    </w:rPr>
  </w:style>
  <w:style w:type="character" w:styleId="TtulodoLivro">
    <w:name w:val="Book Title"/>
    <w:basedOn w:val="Fontepargpadro"/>
    <w:uiPriority w:val="33"/>
    <w:qFormat/>
    <w:rsid w:val="00BA607D"/>
    <w:rPr>
      <w:b/>
      <w:bCs/>
      <w:smallCaps/>
    </w:rPr>
  </w:style>
  <w:style w:type="paragraph" w:styleId="CabealhodoSumrio">
    <w:name w:val="TOC Heading"/>
    <w:basedOn w:val="Ttulo1"/>
    <w:next w:val="Normal"/>
    <w:uiPriority w:val="39"/>
    <w:semiHidden/>
    <w:unhideWhenUsed/>
    <w:qFormat/>
    <w:rsid w:val="00BA607D"/>
    <w:pPr>
      <w:outlineLvl w:val="9"/>
    </w:pPr>
  </w:style>
  <w:style w:type="character" w:customStyle="1" w:styleId="title-text">
    <w:name w:val="title-text"/>
    <w:basedOn w:val="Fontepargpadro"/>
    <w:rsid w:val="00555A96"/>
  </w:style>
  <w:style w:type="character" w:customStyle="1" w:styleId="sr-only">
    <w:name w:val="sr-only"/>
    <w:basedOn w:val="Fontepargpadro"/>
    <w:rsid w:val="00555A96"/>
  </w:style>
  <w:style w:type="character" w:customStyle="1" w:styleId="react-xocs-alternative-link">
    <w:name w:val="react-xocs-alternative-link"/>
    <w:basedOn w:val="Fontepargpadro"/>
    <w:rsid w:val="00555A96"/>
  </w:style>
  <w:style w:type="character" w:customStyle="1" w:styleId="given-name">
    <w:name w:val="given-name"/>
    <w:basedOn w:val="Fontepargpadro"/>
    <w:rsid w:val="00555A96"/>
  </w:style>
  <w:style w:type="character" w:customStyle="1" w:styleId="text">
    <w:name w:val="text"/>
    <w:basedOn w:val="Fontepargpadro"/>
    <w:rsid w:val="00555A96"/>
  </w:style>
  <w:style w:type="character" w:customStyle="1" w:styleId="author-ref">
    <w:name w:val="author-ref"/>
    <w:basedOn w:val="Fontepargpadro"/>
    <w:rsid w:val="00555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5560">
      <w:bodyDiv w:val="1"/>
      <w:marLeft w:val="0"/>
      <w:marRight w:val="0"/>
      <w:marTop w:val="0"/>
      <w:marBottom w:val="0"/>
      <w:divBdr>
        <w:top w:val="none" w:sz="0" w:space="0" w:color="auto"/>
        <w:left w:val="none" w:sz="0" w:space="0" w:color="auto"/>
        <w:bottom w:val="none" w:sz="0" w:space="0" w:color="auto"/>
        <w:right w:val="none" w:sz="0" w:space="0" w:color="auto"/>
      </w:divBdr>
    </w:div>
    <w:div w:id="210116919">
      <w:bodyDiv w:val="1"/>
      <w:marLeft w:val="0"/>
      <w:marRight w:val="0"/>
      <w:marTop w:val="0"/>
      <w:marBottom w:val="0"/>
      <w:divBdr>
        <w:top w:val="none" w:sz="0" w:space="0" w:color="auto"/>
        <w:left w:val="none" w:sz="0" w:space="0" w:color="auto"/>
        <w:bottom w:val="none" w:sz="0" w:space="0" w:color="auto"/>
        <w:right w:val="none" w:sz="0" w:space="0" w:color="auto"/>
      </w:divBdr>
      <w:divsChild>
        <w:div w:id="225528300">
          <w:marLeft w:val="0"/>
          <w:marRight w:val="0"/>
          <w:marTop w:val="0"/>
          <w:marBottom w:val="0"/>
          <w:divBdr>
            <w:top w:val="none" w:sz="0" w:space="0" w:color="auto"/>
            <w:left w:val="none" w:sz="0" w:space="0" w:color="auto"/>
            <w:bottom w:val="none" w:sz="0" w:space="0" w:color="auto"/>
            <w:right w:val="none" w:sz="0" w:space="0" w:color="auto"/>
          </w:divBdr>
        </w:div>
        <w:div w:id="696387531">
          <w:marLeft w:val="0"/>
          <w:marRight w:val="0"/>
          <w:marTop w:val="0"/>
          <w:marBottom w:val="0"/>
          <w:divBdr>
            <w:top w:val="none" w:sz="0" w:space="0" w:color="auto"/>
            <w:left w:val="none" w:sz="0" w:space="0" w:color="auto"/>
            <w:bottom w:val="none" w:sz="0" w:space="0" w:color="auto"/>
            <w:right w:val="none" w:sz="0" w:space="0" w:color="auto"/>
          </w:divBdr>
        </w:div>
        <w:div w:id="787160864">
          <w:marLeft w:val="0"/>
          <w:marRight w:val="0"/>
          <w:marTop w:val="0"/>
          <w:marBottom w:val="0"/>
          <w:divBdr>
            <w:top w:val="none" w:sz="0" w:space="0" w:color="auto"/>
            <w:left w:val="none" w:sz="0" w:space="0" w:color="auto"/>
            <w:bottom w:val="none" w:sz="0" w:space="0" w:color="auto"/>
            <w:right w:val="none" w:sz="0" w:space="0" w:color="auto"/>
          </w:divBdr>
        </w:div>
        <w:div w:id="803811230">
          <w:marLeft w:val="0"/>
          <w:marRight w:val="0"/>
          <w:marTop w:val="0"/>
          <w:marBottom w:val="0"/>
          <w:divBdr>
            <w:top w:val="none" w:sz="0" w:space="0" w:color="auto"/>
            <w:left w:val="none" w:sz="0" w:space="0" w:color="auto"/>
            <w:bottom w:val="none" w:sz="0" w:space="0" w:color="auto"/>
            <w:right w:val="none" w:sz="0" w:space="0" w:color="auto"/>
          </w:divBdr>
        </w:div>
        <w:div w:id="833956301">
          <w:marLeft w:val="0"/>
          <w:marRight w:val="0"/>
          <w:marTop w:val="0"/>
          <w:marBottom w:val="0"/>
          <w:divBdr>
            <w:top w:val="none" w:sz="0" w:space="0" w:color="auto"/>
            <w:left w:val="none" w:sz="0" w:space="0" w:color="auto"/>
            <w:bottom w:val="none" w:sz="0" w:space="0" w:color="auto"/>
            <w:right w:val="none" w:sz="0" w:space="0" w:color="auto"/>
          </w:divBdr>
        </w:div>
        <w:div w:id="1179269020">
          <w:marLeft w:val="0"/>
          <w:marRight w:val="0"/>
          <w:marTop w:val="0"/>
          <w:marBottom w:val="0"/>
          <w:divBdr>
            <w:top w:val="none" w:sz="0" w:space="0" w:color="auto"/>
            <w:left w:val="none" w:sz="0" w:space="0" w:color="auto"/>
            <w:bottom w:val="none" w:sz="0" w:space="0" w:color="auto"/>
            <w:right w:val="none" w:sz="0" w:space="0" w:color="auto"/>
          </w:divBdr>
        </w:div>
        <w:div w:id="1452701645">
          <w:marLeft w:val="0"/>
          <w:marRight w:val="0"/>
          <w:marTop w:val="0"/>
          <w:marBottom w:val="0"/>
          <w:divBdr>
            <w:top w:val="none" w:sz="0" w:space="0" w:color="auto"/>
            <w:left w:val="none" w:sz="0" w:space="0" w:color="auto"/>
            <w:bottom w:val="none" w:sz="0" w:space="0" w:color="auto"/>
            <w:right w:val="none" w:sz="0" w:space="0" w:color="auto"/>
          </w:divBdr>
        </w:div>
        <w:div w:id="1536963496">
          <w:marLeft w:val="0"/>
          <w:marRight w:val="0"/>
          <w:marTop w:val="0"/>
          <w:marBottom w:val="0"/>
          <w:divBdr>
            <w:top w:val="none" w:sz="0" w:space="0" w:color="auto"/>
            <w:left w:val="none" w:sz="0" w:space="0" w:color="auto"/>
            <w:bottom w:val="none" w:sz="0" w:space="0" w:color="auto"/>
            <w:right w:val="none" w:sz="0" w:space="0" w:color="auto"/>
          </w:divBdr>
        </w:div>
        <w:div w:id="1621376910">
          <w:marLeft w:val="0"/>
          <w:marRight w:val="0"/>
          <w:marTop w:val="0"/>
          <w:marBottom w:val="0"/>
          <w:divBdr>
            <w:top w:val="none" w:sz="0" w:space="0" w:color="auto"/>
            <w:left w:val="none" w:sz="0" w:space="0" w:color="auto"/>
            <w:bottom w:val="none" w:sz="0" w:space="0" w:color="auto"/>
            <w:right w:val="none" w:sz="0" w:space="0" w:color="auto"/>
          </w:divBdr>
        </w:div>
        <w:div w:id="1706365441">
          <w:marLeft w:val="0"/>
          <w:marRight w:val="0"/>
          <w:marTop w:val="0"/>
          <w:marBottom w:val="0"/>
          <w:divBdr>
            <w:top w:val="none" w:sz="0" w:space="0" w:color="auto"/>
            <w:left w:val="none" w:sz="0" w:space="0" w:color="auto"/>
            <w:bottom w:val="none" w:sz="0" w:space="0" w:color="auto"/>
            <w:right w:val="none" w:sz="0" w:space="0" w:color="auto"/>
          </w:divBdr>
        </w:div>
        <w:div w:id="1706714506">
          <w:marLeft w:val="0"/>
          <w:marRight w:val="0"/>
          <w:marTop w:val="0"/>
          <w:marBottom w:val="0"/>
          <w:divBdr>
            <w:top w:val="none" w:sz="0" w:space="0" w:color="auto"/>
            <w:left w:val="none" w:sz="0" w:space="0" w:color="auto"/>
            <w:bottom w:val="none" w:sz="0" w:space="0" w:color="auto"/>
            <w:right w:val="none" w:sz="0" w:space="0" w:color="auto"/>
          </w:divBdr>
        </w:div>
        <w:div w:id="1819376896">
          <w:marLeft w:val="0"/>
          <w:marRight w:val="0"/>
          <w:marTop w:val="0"/>
          <w:marBottom w:val="0"/>
          <w:divBdr>
            <w:top w:val="none" w:sz="0" w:space="0" w:color="auto"/>
            <w:left w:val="none" w:sz="0" w:space="0" w:color="auto"/>
            <w:bottom w:val="none" w:sz="0" w:space="0" w:color="auto"/>
            <w:right w:val="none" w:sz="0" w:space="0" w:color="auto"/>
          </w:divBdr>
        </w:div>
        <w:div w:id="1979921659">
          <w:marLeft w:val="0"/>
          <w:marRight w:val="0"/>
          <w:marTop w:val="0"/>
          <w:marBottom w:val="0"/>
          <w:divBdr>
            <w:top w:val="none" w:sz="0" w:space="0" w:color="auto"/>
            <w:left w:val="none" w:sz="0" w:space="0" w:color="auto"/>
            <w:bottom w:val="none" w:sz="0" w:space="0" w:color="auto"/>
            <w:right w:val="none" w:sz="0" w:space="0" w:color="auto"/>
          </w:divBdr>
        </w:div>
        <w:div w:id="2074544354">
          <w:marLeft w:val="0"/>
          <w:marRight w:val="0"/>
          <w:marTop w:val="0"/>
          <w:marBottom w:val="0"/>
          <w:divBdr>
            <w:top w:val="none" w:sz="0" w:space="0" w:color="auto"/>
            <w:left w:val="none" w:sz="0" w:space="0" w:color="auto"/>
            <w:bottom w:val="none" w:sz="0" w:space="0" w:color="auto"/>
            <w:right w:val="none" w:sz="0" w:space="0" w:color="auto"/>
          </w:divBdr>
        </w:div>
        <w:div w:id="2118984866">
          <w:marLeft w:val="0"/>
          <w:marRight w:val="0"/>
          <w:marTop w:val="0"/>
          <w:marBottom w:val="0"/>
          <w:divBdr>
            <w:top w:val="none" w:sz="0" w:space="0" w:color="auto"/>
            <w:left w:val="none" w:sz="0" w:space="0" w:color="auto"/>
            <w:bottom w:val="none" w:sz="0" w:space="0" w:color="auto"/>
            <w:right w:val="none" w:sz="0" w:space="0" w:color="auto"/>
          </w:divBdr>
        </w:div>
      </w:divsChild>
    </w:div>
    <w:div w:id="346759844">
      <w:bodyDiv w:val="1"/>
      <w:marLeft w:val="0"/>
      <w:marRight w:val="0"/>
      <w:marTop w:val="0"/>
      <w:marBottom w:val="0"/>
      <w:divBdr>
        <w:top w:val="none" w:sz="0" w:space="0" w:color="auto"/>
        <w:left w:val="none" w:sz="0" w:space="0" w:color="auto"/>
        <w:bottom w:val="none" w:sz="0" w:space="0" w:color="auto"/>
        <w:right w:val="none" w:sz="0" w:space="0" w:color="auto"/>
      </w:divBdr>
      <w:divsChild>
        <w:div w:id="1049232008">
          <w:marLeft w:val="0"/>
          <w:marRight w:val="0"/>
          <w:marTop w:val="0"/>
          <w:marBottom w:val="0"/>
          <w:divBdr>
            <w:top w:val="none" w:sz="0" w:space="0" w:color="auto"/>
            <w:left w:val="none" w:sz="0" w:space="0" w:color="auto"/>
            <w:bottom w:val="none" w:sz="0" w:space="0" w:color="auto"/>
            <w:right w:val="none" w:sz="0" w:space="0" w:color="auto"/>
          </w:divBdr>
          <w:divsChild>
            <w:div w:id="585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9586">
      <w:bodyDiv w:val="1"/>
      <w:marLeft w:val="0"/>
      <w:marRight w:val="0"/>
      <w:marTop w:val="0"/>
      <w:marBottom w:val="0"/>
      <w:divBdr>
        <w:top w:val="none" w:sz="0" w:space="0" w:color="auto"/>
        <w:left w:val="none" w:sz="0" w:space="0" w:color="auto"/>
        <w:bottom w:val="none" w:sz="0" w:space="0" w:color="auto"/>
        <w:right w:val="none" w:sz="0" w:space="0" w:color="auto"/>
      </w:divBdr>
    </w:div>
    <w:div w:id="532695922">
      <w:bodyDiv w:val="1"/>
      <w:marLeft w:val="0"/>
      <w:marRight w:val="0"/>
      <w:marTop w:val="0"/>
      <w:marBottom w:val="0"/>
      <w:divBdr>
        <w:top w:val="none" w:sz="0" w:space="0" w:color="auto"/>
        <w:left w:val="none" w:sz="0" w:space="0" w:color="auto"/>
        <w:bottom w:val="none" w:sz="0" w:space="0" w:color="auto"/>
        <w:right w:val="none" w:sz="0" w:space="0" w:color="auto"/>
      </w:divBdr>
    </w:div>
    <w:div w:id="563687796">
      <w:bodyDiv w:val="1"/>
      <w:marLeft w:val="0"/>
      <w:marRight w:val="0"/>
      <w:marTop w:val="0"/>
      <w:marBottom w:val="0"/>
      <w:divBdr>
        <w:top w:val="none" w:sz="0" w:space="0" w:color="auto"/>
        <w:left w:val="none" w:sz="0" w:space="0" w:color="auto"/>
        <w:bottom w:val="none" w:sz="0" w:space="0" w:color="auto"/>
        <w:right w:val="none" w:sz="0" w:space="0" w:color="auto"/>
      </w:divBdr>
      <w:divsChild>
        <w:div w:id="586841921">
          <w:marLeft w:val="0"/>
          <w:marRight w:val="0"/>
          <w:marTop w:val="0"/>
          <w:marBottom w:val="0"/>
          <w:divBdr>
            <w:top w:val="none" w:sz="0" w:space="0" w:color="auto"/>
            <w:left w:val="none" w:sz="0" w:space="0" w:color="auto"/>
            <w:bottom w:val="none" w:sz="0" w:space="0" w:color="auto"/>
            <w:right w:val="none" w:sz="0" w:space="0" w:color="auto"/>
          </w:divBdr>
          <w:divsChild>
            <w:div w:id="34693791">
              <w:marLeft w:val="0"/>
              <w:marRight w:val="0"/>
              <w:marTop w:val="0"/>
              <w:marBottom w:val="0"/>
              <w:divBdr>
                <w:top w:val="none" w:sz="0" w:space="0" w:color="auto"/>
                <w:left w:val="none" w:sz="0" w:space="0" w:color="auto"/>
                <w:bottom w:val="none" w:sz="0" w:space="0" w:color="auto"/>
                <w:right w:val="none" w:sz="0" w:space="0" w:color="auto"/>
              </w:divBdr>
              <w:divsChild>
                <w:div w:id="8219839">
                  <w:marLeft w:val="0"/>
                  <w:marRight w:val="0"/>
                  <w:marTop w:val="0"/>
                  <w:marBottom w:val="0"/>
                  <w:divBdr>
                    <w:top w:val="none" w:sz="0" w:space="0" w:color="auto"/>
                    <w:left w:val="none" w:sz="0" w:space="0" w:color="auto"/>
                    <w:bottom w:val="none" w:sz="0" w:space="0" w:color="auto"/>
                    <w:right w:val="none" w:sz="0" w:space="0" w:color="auto"/>
                  </w:divBdr>
                  <w:divsChild>
                    <w:div w:id="2077389799">
                      <w:marLeft w:val="0"/>
                      <w:marRight w:val="0"/>
                      <w:marTop w:val="0"/>
                      <w:marBottom w:val="0"/>
                      <w:divBdr>
                        <w:top w:val="none" w:sz="0" w:space="0" w:color="auto"/>
                        <w:left w:val="none" w:sz="0" w:space="0" w:color="auto"/>
                        <w:bottom w:val="none" w:sz="0" w:space="0" w:color="auto"/>
                        <w:right w:val="none" w:sz="0" w:space="0" w:color="auto"/>
                      </w:divBdr>
                      <w:divsChild>
                        <w:div w:id="21444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7208">
                  <w:marLeft w:val="0"/>
                  <w:marRight w:val="0"/>
                  <w:marTop w:val="0"/>
                  <w:marBottom w:val="0"/>
                  <w:divBdr>
                    <w:top w:val="none" w:sz="0" w:space="0" w:color="auto"/>
                    <w:left w:val="none" w:sz="0" w:space="0" w:color="auto"/>
                    <w:bottom w:val="none" w:sz="0" w:space="0" w:color="auto"/>
                    <w:right w:val="none" w:sz="0" w:space="0" w:color="auto"/>
                  </w:divBdr>
                  <w:divsChild>
                    <w:div w:id="1901478800">
                      <w:marLeft w:val="0"/>
                      <w:marRight w:val="0"/>
                      <w:marTop w:val="0"/>
                      <w:marBottom w:val="0"/>
                      <w:divBdr>
                        <w:top w:val="none" w:sz="0" w:space="0" w:color="auto"/>
                        <w:left w:val="none" w:sz="0" w:space="0" w:color="auto"/>
                        <w:bottom w:val="none" w:sz="0" w:space="0" w:color="auto"/>
                        <w:right w:val="none" w:sz="0" w:space="0" w:color="auto"/>
                      </w:divBdr>
                      <w:divsChild>
                        <w:div w:id="5868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06008">
                  <w:marLeft w:val="0"/>
                  <w:marRight w:val="0"/>
                  <w:marTop w:val="0"/>
                  <w:marBottom w:val="0"/>
                  <w:divBdr>
                    <w:top w:val="none" w:sz="0" w:space="0" w:color="auto"/>
                    <w:left w:val="none" w:sz="0" w:space="0" w:color="auto"/>
                    <w:bottom w:val="none" w:sz="0" w:space="0" w:color="auto"/>
                    <w:right w:val="none" w:sz="0" w:space="0" w:color="auto"/>
                  </w:divBdr>
                  <w:divsChild>
                    <w:div w:id="1892158152">
                      <w:marLeft w:val="0"/>
                      <w:marRight w:val="0"/>
                      <w:marTop w:val="0"/>
                      <w:marBottom w:val="0"/>
                      <w:divBdr>
                        <w:top w:val="none" w:sz="0" w:space="0" w:color="auto"/>
                        <w:left w:val="none" w:sz="0" w:space="0" w:color="auto"/>
                        <w:bottom w:val="none" w:sz="0" w:space="0" w:color="auto"/>
                        <w:right w:val="none" w:sz="0" w:space="0" w:color="auto"/>
                      </w:divBdr>
                    </w:div>
                  </w:divsChild>
                </w:div>
                <w:div w:id="1280264244">
                  <w:marLeft w:val="0"/>
                  <w:marRight w:val="0"/>
                  <w:marTop w:val="100"/>
                  <w:marBottom w:val="0"/>
                  <w:divBdr>
                    <w:top w:val="none" w:sz="0" w:space="0" w:color="auto"/>
                    <w:left w:val="none" w:sz="0" w:space="0" w:color="auto"/>
                    <w:bottom w:val="none" w:sz="0" w:space="0" w:color="auto"/>
                    <w:right w:val="none" w:sz="0" w:space="0" w:color="auto"/>
                  </w:divBdr>
                  <w:divsChild>
                    <w:div w:id="1139499417">
                      <w:marLeft w:val="0"/>
                      <w:marRight w:val="0"/>
                      <w:marTop w:val="0"/>
                      <w:marBottom w:val="0"/>
                      <w:divBdr>
                        <w:top w:val="none" w:sz="0" w:space="0" w:color="auto"/>
                        <w:left w:val="none" w:sz="0" w:space="0" w:color="auto"/>
                        <w:bottom w:val="none" w:sz="0" w:space="0" w:color="auto"/>
                        <w:right w:val="none" w:sz="0" w:space="0" w:color="auto"/>
                      </w:divBdr>
                      <w:divsChild>
                        <w:div w:id="542864791">
                          <w:marLeft w:val="0"/>
                          <w:marRight w:val="0"/>
                          <w:marTop w:val="0"/>
                          <w:marBottom w:val="0"/>
                          <w:divBdr>
                            <w:top w:val="none" w:sz="0" w:space="0" w:color="auto"/>
                            <w:left w:val="none" w:sz="0" w:space="0" w:color="auto"/>
                            <w:bottom w:val="none" w:sz="0" w:space="0" w:color="auto"/>
                            <w:right w:val="none" w:sz="0" w:space="0" w:color="auto"/>
                          </w:divBdr>
                          <w:divsChild>
                            <w:div w:id="788009959">
                              <w:marLeft w:val="0"/>
                              <w:marRight w:val="0"/>
                              <w:marTop w:val="0"/>
                              <w:marBottom w:val="0"/>
                              <w:divBdr>
                                <w:top w:val="none" w:sz="0" w:space="0" w:color="auto"/>
                                <w:left w:val="none" w:sz="0" w:space="0" w:color="auto"/>
                                <w:bottom w:val="none" w:sz="0" w:space="0" w:color="auto"/>
                                <w:right w:val="none" w:sz="0" w:space="0" w:color="auto"/>
                              </w:divBdr>
                              <w:divsChild>
                                <w:div w:id="15825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223656">
          <w:marLeft w:val="0"/>
          <w:marRight w:val="0"/>
          <w:marTop w:val="0"/>
          <w:marBottom w:val="0"/>
          <w:divBdr>
            <w:top w:val="none" w:sz="0" w:space="0" w:color="auto"/>
            <w:left w:val="none" w:sz="0" w:space="0" w:color="auto"/>
            <w:bottom w:val="none" w:sz="0" w:space="0" w:color="auto"/>
            <w:right w:val="none" w:sz="0" w:space="0" w:color="auto"/>
          </w:divBdr>
          <w:divsChild>
            <w:div w:id="745877559">
              <w:marLeft w:val="0"/>
              <w:marRight w:val="0"/>
              <w:marTop w:val="0"/>
              <w:marBottom w:val="0"/>
              <w:divBdr>
                <w:top w:val="none" w:sz="0" w:space="0" w:color="auto"/>
                <w:left w:val="none" w:sz="0" w:space="0" w:color="auto"/>
                <w:bottom w:val="none" w:sz="0" w:space="0" w:color="auto"/>
                <w:right w:val="none" w:sz="0" w:space="0" w:color="auto"/>
              </w:divBdr>
              <w:divsChild>
                <w:div w:id="1212964325">
                  <w:marLeft w:val="0"/>
                  <w:marRight w:val="0"/>
                  <w:marTop w:val="0"/>
                  <w:marBottom w:val="0"/>
                  <w:divBdr>
                    <w:top w:val="none" w:sz="0" w:space="0" w:color="auto"/>
                    <w:left w:val="none" w:sz="0" w:space="0" w:color="auto"/>
                    <w:bottom w:val="none" w:sz="0" w:space="0" w:color="auto"/>
                    <w:right w:val="none" w:sz="0" w:space="0" w:color="auto"/>
                  </w:divBdr>
                  <w:divsChild>
                    <w:div w:id="1697190672">
                      <w:marLeft w:val="0"/>
                      <w:marRight w:val="0"/>
                      <w:marTop w:val="0"/>
                      <w:marBottom w:val="0"/>
                      <w:divBdr>
                        <w:top w:val="none" w:sz="0" w:space="0" w:color="auto"/>
                        <w:left w:val="none" w:sz="0" w:space="0" w:color="auto"/>
                        <w:bottom w:val="none" w:sz="0" w:space="0" w:color="auto"/>
                        <w:right w:val="none" w:sz="0" w:space="0" w:color="auto"/>
                      </w:divBdr>
                      <w:divsChild>
                        <w:div w:id="642078171">
                          <w:marLeft w:val="0"/>
                          <w:marRight w:val="0"/>
                          <w:marTop w:val="0"/>
                          <w:marBottom w:val="0"/>
                          <w:divBdr>
                            <w:top w:val="none" w:sz="0" w:space="0" w:color="auto"/>
                            <w:left w:val="none" w:sz="0" w:space="0" w:color="auto"/>
                            <w:bottom w:val="none" w:sz="0" w:space="0" w:color="auto"/>
                            <w:right w:val="none" w:sz="0" w:space="0" w:color="auto"/>
                          </w:divBdr>
                          <w:divsChild>
                            <w:div w:id="715083365">
                              <w:marLeft w:val="0"/>
                              <w:marRight w:val="0"/>
                              <w:marTop w:val="0"/>
                              <w:marBottom w:val="0"/>
                              <w:divBdr>
                                <w:top w:val="none" w:sz="0" w:space="0" w:color="auto"/>
                                <w:left w:val="none" w:sz="0" w:space="0" w:color="auto"/>
                                <w:bottom w:val="none" w:sz="0" w:space="0" w:color="auto"/>
                                <w:right w:val="none" w:sz="0" w:space="0" w:color="auto"/>
                              </w:divBdr>
                              <w:divsChild>
                                <w:div w:id="34880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388837">
      <w:bodyDiv w:val="1"/>
      <w:marLeft w:val="0"/>
      <w:marRight w:val="0"/>
      <w:marTop w:val="0"/>
      <w:marBottom w:val="0"/>
      <w:divBdr>
        <w:top w:val="none" w:sz="0" w:space="0" w:color="auto"/>
        <w:left w:val="none" w:sz="0" w:space="0" w:color="auto"/>
        <w:bottom w:val="none" w:sz="0" w:space="0" w:color="auto"/>
        <w:right w:val="none" w:sz="0" w:space="0" w:color="auto"/>
      </w:divBdr>
    </w:div>
    <w:div w:id="765006205">
      <w:bodyDiv w:val="1"/>
      <w:marLeft w:val="0"/>
      <w:marRight w:val="0"/>
      <w:marTop w:val="0"/>
      <w:marBottom w:val="0"/>
      <w:divBdr>
        <w:top w:val="none" w:sz="0" w:space="0" w:color="auto"/>
        <w:left w:val="none" w:sz="0" w:space="0" w:color="auto"/>
        <w:bottom w:val="none" w:sz="0" w:space="0" w:color="auto"/>
        <w:right w:val="none" w:sz="0" w:space="0" w:color="auto"/>
      </w:divBdr>
    </w:div>
    <w:div w:id="850221978">
      <w:bodyDiv w:val="1"/>
      <w:marLeft w:val="0"/>
      <w:marRight w:val="0"/>
      <w:marTop w:val="0"/>
      <w:marBottom w:val="0"/>
      <w:divBdr>
        <w:top w:val="none" w:sz="0" w:space="0" w:color="auto"/>
        <w:left w:val="none" w:sz="0" w:space="0" w:color="auto"/>
        <w:bottom w:val="none" w:sz="0" w:space="0" w:color="auto"/>
        <w:right w:val="none" w:sz="0" w:space="0" w:color="auto"/>
      </w:divBdr>
      <w:divsChild>
        <w:div w:id="84692064">
          <w:marLeft w:val="0"/>
          <w:marRight w:val="0"/>
          <w:marTop w:val="0"/>
          <w:marBottom w:val="0"/>
          <w:divBdr>
            <w:top w:val="none" w:sz="0" w:space="0" w:color="auto"/>
            <w:left w:val="none" w:sz="0" w:space="0" w:color="auto"/>
            <w:bottom w:val="none" w:sz="0" w:space="0" w:color="auto"/>
            <w:right w:val="none" w:sz="0" w:space="0" w:color="auto"/>
          </w:divBdr>
        </w:div>
        <w:div w:id="217018017">
          <w:marLeft w:val="0"/>
          <w:marRight w:val="0"/>
          <w:marTop w:val="0"/>
          <w:marBottom w:val="0"/>
          <w:divBdr>
            <w:top w:val="none" w:sz="0" w:space="0" w:color="auto"/>
            <w:left w:val="none" w:sz="0" w:space="0" w:color="auto"/>
            <w:bottom w:val="none" w:sz="0" w:space="0" w:color="auto"/>
            <w:right w:val="none" w:sz="0" w:space="0" w:color="auto"/>
          </w:divBdr>
        </w:div>
      </w:divsChild>
    </w:div>
    <w:div w:id="1049650956">
      <w:bodyDiv w:val="1"/>
      <w:marLeft w:val="0"/>
      <w:marRight w:val="0"/>
      <w:marTop w:val="0"/>
      <w:marBottom w:val="0"/>
      <w:divBdr>
        <w:top w:val="none" w:sz="0" w:space="0" w:color="auto"/>
        <w:left w:val="none" w:sz="0" w:space="0" w:color="auto"/>
        <w:bottom w:val="none" w:sz="0" w:space="0" w:color="auto"/>
        <w:right w:val="none" w:sz="0" w:space="0" w:color="auto"/>
      </w:divBdr>
    </w:div>
    <w:div w:id="1113748832">
      <w:bodyDiv w:val="1"/>
      <w:marLeft w:val="0"/>
      <w:marRight w:val="0"/>
      <w:marTop w:val="0"/>
      <w:marBottom w:val="0"/>
      <w:divBdr>
        <w:top w:val="none" w:sz="0" w:space="0" w:color="auto"/>
        <w:left w:val="none" w:sz="0" w:space="0" w:color="auto"/>
        <w:bottom w:val="none" w:sz="0" w:space="0" w:color="auto"/>
        <w:right w:val="none" w:sz="0" w:space="0" w:color="auto"/>
      </w:divBdr>
    </w:div>
    <w:div w:id="1180390781">
      <w:bodyDiv w:val="1"/>
      <w:marLeft w:val="0"/>
      <w:marRight w:val="0"/>
      <w:marTop w:val="0"/>
      <w:marBottom w:val="0"/>
      <w:divBdr>
        <w:top w:val="none" w:sz="0" w:space="0" w:color="auto"/>
        <w:left w:val="none" w:sz="0" w:space="0" w:color="auto"/>
        <w:bottom w:val="none" w:sz="0" w:space="0" w:color="auto"/>
        <w:right w:val="none" w:sz="0" w:space="0" w:color="auto"/>
      </w:divBdr>
      <w:divsChild>
        <w:div w:id="956182920">
          <w:marLeft w:val="0"/>
          <w:marRight w:val="0"/>
          <w:marTop w:val="0"/>
          <w:marBottom w:val="120"/>
          <w:divBdr>
            <w:top w:val="none" w:sz="0" w:space="0" w:color="auto"/>
            <w:left w:val="none" w:sz="0" w:space="0" w:color="auto"/>
            <w:bottom w:val="none" w:sz="0" w:space="0" w:color="auto"/>
            <w:right w:val="none" w:sz="0" w:space="0" w:color="auto"/>
          </w:divBdr>
          <w:divsChild>
            <w:div w:id="455880679">
              <w:marLeft w:val="0"/>
              <w:marRight w:val="0"/>
              <w:marTop w:val="0"/>
              <w:marBottom w:val="0"/>
              <w:divBdr>
                <w:top w:val="none" w:sz="0" w:space="0" w:color="auto"/>
                <w:left w:val="none" w:sz="0" w:space="0" w:color="auto"/>
                <w:bottom w:val="none" w:sz="0" w:space="0" w:color="auto"/>
                <w:right w:val="none" w:sz="0" w:space="0" w:color="auto"/>
              </w:divBdr>
              <w:divsChild>
                <w:div w:id="228267010">
                  <w:marLeft w:val="0"/>
                  <w:marRight w:val="0"/>
                  <w:marTop w:val="0"/>
                  <w:marBottom w:val="0"/>
                  <w:divBdr>
                    <w:top w:val="none" w:sz="0" w:space="0" w:color="auto"/>
                    <w:left w:val="none" w:sz="0" w:space="0" w:color="auto"/>
                    <w:bottom w:val="none" w:sz="0" w:space="0" w:color="auto"/>
                    <w:right w:val="none" w:sz="0" w:space="0" w:color="auto"/>
                  </w:divBdr>
                  <w:divsChild>
                    <w:div w:id="18544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621679">
      <w:bodyDiv w:val="1"/>
      <w:marLeft w:val="0"/>
      <w:marRight w:val="0"/>
      <w:marTop w:val="0"/>
      <w:marBottom w:val="0"/>
      <w:divBdr>
        <w:top w:val="none" w:sz="0" w:space="0" w:color="auto"/>
        <w:left w:val="none" w:sz="0" w:space="0" w:color="auto"/>
        <w:bottom w:val="none" w:sz="0" w:space="0" w:color="auto"/>
        <w:right w:val="none" w:sz="0" w:space="0" w:color="auto"/>
      </w:divBdr>
      <w:divsChild>
        <w:div w:id="860780751">
          <w:marLeft w:val="0"/>
          <w:marRight w:val="0"/>
          <w:marTop w:val="0"/>
          <w:marBottom w:val="0"/>
          <w:divBdr>
            <w:top w:val="none" w:sz="0" w:space="0" w:color="auto"/>
            <w:left w:val="none" w:sz="0" w:space="0" w:color="auto"/>
            <w:bottom w:val="none" w:sz="0" w:space="0" w:color="auto"/>
            <w:right w:val="none" w:sz="0" w:space="0" w:color="auto"/>
          </w:divBdr>
          <w:divsChild>
            <w:div w:id="569658388">
              <w:marLeft w:val="0"/>
              <w:marRight w:val="0"/>
              <w:marTop w:val="0"/>
              <w:marBottom w:val="0"/>
              <w:divBdr>
                <w:top w:val="none" w:sz="0" w:space="0" w:color="auto"/>
                <w:left w:val="none" w:sz="0" w:space="0" w:color="auto"/>
                <w:bottom w:val="none" w:sz="0" w:space="0" w:color="auto"/>
                <w:right w:val="none" w:sz="0" w:space="0" w:color="auto"/>
              </w:divBdr>
              <w:divsChild>
                <w:div w:id="310837419">
                  <w:marLeft w:val="0"/>
                  <w:marRight w:val="0"/>
                  <w:marTop w:val="0"/>
                  <w:marBottom w:val="0"/>
                  <w:divBdr>
                    <w:top w:val="none" w:sz="0" w:space="0" w:color="auto"/>
                    <w:left w:val="none" w:sz="0" w:space="0" w:color="auto"/>
                    <w:bottom w:val="none" w:sz="0" w:space="0" w:color="auto"/>
                    <w:right w:val="none" w:sz="0" w:space="0" w:color="auto"/>
                  </w:divBdr>
                  <w:divsChild>
                    <w:div w:id="257562099">
                      <w:marLeft w:val="0"/>
                      <w:marRight w:val="0"/>
                      <w:marTop w:val="0"/>
                      <w:marBottom w:val="0"/>
                      <w:divBdr>
                        <w:top w:val="none" w:sz="0" w:space="0" w:color="auto"/>
                        <w:left w:val="none" w:sz="0" w:space="0" w:color="auto"/>
                        <w:bottom w:val="none" w:sz="0" w:space="0" w:color="auto"/>
                        <w:right w:val="none" w:sz="0" w:space="0" w:color="auto"/>
                      </w:divBdr>
                      <w:divsChild>
                        <w:div w:id="17905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133954">
          <w:marLeft w:val="0"/>
          <w:marRight w:val="0"/>
          <w:marTop w:val="0"/>
          <w:marBottom w:val="0"/>
          <w:divBdr>
            <w:top w:val="none" w:sz="0" w:space="0" w:color="auto"/>
            <w:left w:val="none" w:sz="0" w:space="0" w:color="auto"/>
            <w:bottom w:val="none" w:sz="0" w:space="0" w:color="auto"/>
            <w:right w:val="none" w:sz="0" w:space="0" w:color="auto"/>
          </w:divBdr>
          <w:divsChild>
            <w:div w:id="1757172013">
              <w:marLeft w:val="0"/>
              <w:marRight w:val="0"/>
              <w:marTop w:val="0"/>
              <w:marBottom w:val="0"/>
              <w:divBdr>
                <w:top w:val="none" w:sz="0" w:space="0" w:color="auto"/>
                <w:left w:val="none" w:sz="0" w:space="0" w:color="auto"/>
                <w:bottom w:val="none" w:sz="0" w:space="0" w:color="auto"/>
                <w:right w:val="none" w:sz="0" w:space="0" w:color="auto"/>
              </w:divBdr>
              <w:divsChild>
                <w:div w:id="552959141">
                  <w:marLeft w:val="0"/>
                  <w:marRight w:val="0"/>
                  <w:marTop w:val="0"/>
                  <w:marBottom w:val="0"/>
                  <w:divBdr>
                    <w:top w:val="none" w:sz="0" w:space="0" w:color="auto"/>
                    <w:left w:val="none" w:sz="0" w:space="0" w:color="auto"/>
                    <w:bottom w:val="none" w:sz="0" w:space="0" w:color="auto"/>
                    <w:right w:val="none" w:sz="0" w:space="0" w:color="auto"/>
                  </w:divBdr>
                  <w:divsChild>
                    <w:div w:id="1858733878">
                      <w:marLeft w:val="0"/>
                      <w:marRight w:val="0"/>
                      <w:marTop w:val="0"/>
                      <w:marBottom w:val="0"/>
                      <w:divBdr>
                        <w:top w:val="none" w:sz="0" w:space="0" w:color="auto"/>
                        <w:left w:val="none" w:sz="0" w:space="0" w:color="auto"/>
                        <w:bottom w:val="none" w:sz="0" w:space="0" w:color="auto"/>
                        <w:right w:val="none" w:sz="0" w:space="0" w:color="auto"/>
                      </w:divBdr>
                      <w:divsChild>
                        <w:div w:id="1435124807">
                          <w:marLeft w:val="0"/>
                          <w:marRight w:val="0"/>
                          <w:marTop w:val="0"/>
                          <w:marBottom w:val="0"/>
                          <w:divBdr>
                            <w:top w:val="none" w:sz="0" w:space="0" w:color="auto"/>
                            <w:left w:val="none" w:sz="0" w:space="0" w:color="auto"/>
                            <w:bottom w:val="none" w:sz="0" w:space="0" w:color="auto"/>
                            <w:right w:val="none" w:sz="0" w:space="0" w:color="auto"/>
                          </w:divBdr>
                          <w:divsChild>
                            <w:div w:id="2073117826">
                              <w:marLeft w:val="0"/>
                              <w:marRight w:val="300"/>
                              <w:marTop w:val="180"/>
                              <w:marBottom w:val="0"/>
                              <w:divBdr>
                                <w:top w:val="none" w:sz="0" w:space="0" w:color="auto"/>
                                <w:left w:val="none" w:sz="0" w:space="0" w:color="auto"/>
                                <w:bottom w:val="none" w:sz="0" w:space="0" w:color="auto"/>
                                <w:right w:val="none" w:sz="0" w:space="0" w:color="auto"/>
                              </w:divBdr>
                              <w:divsChild>
                                <w:div w:id="7991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831055">
      <w:bodyDiv w:val="1"/>
      <w:marLeft w:val="0"/>
      <w:marRight w:val="0"/>
      <w:marTop w:val="0"/>
      <w:marBottom w:val="0"/>
      <w:divBdr>
        <w:top w:val="none" w:sz="0" w:space="0" w:color="auto"/>
        <w:left w:val="none" w:sz="0" w:space="0" w:color="auto"/>
        <w:bottom w:val="none" w:sz="0" w:space="0" w:color="auto"/>
        <w:right w:val="none" w:sz="0" w:space="0" w:color="auto"/>
      </w:divBdr>
    </w:div>
    <w:div w:id="1589843641">
      <w:bodyDiv w:val="1"/>
      <w:marLeft w:val="0"/>
      <w:marRight w:val="0"/>
      <w:marTop w:val="0"/>
      <w:marBottom w:val="0"/>
      <w:divBdr>
        <w:top w:val="none" w:sz="0" w:space="0" w:color="auto"/>
        <w:left w:val="none" w:sz="0" w:space="0" w:color="auto"/>
        <w:bottom w:val="none" w:sz="0" w:space="0" w:color="auto"/>
        <w:right w:val="none" w:sz="0" w:space="0" w:color="auto"/>
      </w:divBdr>
    </w:div>
    <w:div w:id="1618366044">
      <w:bodyDiv w:val="1"/>
      <w:marLeft w:val="0"/>
      <w:marRight w:val="0"/>
      <w:marTop w:val="0"/>
      <w:marBottom w:val="0"/>
      <w:divBdr>
        <w:top w:val="none" w:sz="0" w:space="0" w:color="auto"/>
        <w:left w:val="none" w:sz="0" w:space="0" w:color="auto"/>
        <w:bottom w:val="none" w:sz="0" w:space="0" w:color="auto"/>
        <w:right w:val="none" w:sz="0" w:space="0" w:color="auto"/>
      </w:divBdr>
    </w:div>
    <w:div w:id="1883207894">
      <w:bodyDiv w:val="1"/>
      <w:marLeft w:val="0"/>
      <w:marRight w:val="0"/>
      <w:marTop w:val="0"/>
      <w:marBottom w:val="0"/>
      <w:divBdr>
        <w:top w:val="none" w:sz="0" w:space="0" w:color="auto"/>
        <w:left w:val="none" w:sz="0" w:space="0" w:color="auto"/>
        <w:bottom w:val="none" w:sz="0" w:space="0" w:color="auto"/>
        <w:right w:val="none" w:sz="0" w:space="0" w:color="auto"/>
      </w:divBdr>
    </w:div>
    <w:div w:id="1951891421">
      <w:bodyDiv w:val="1"/>
      <w:marLeft w:val="0"/>
      <w:marRight w:val="0"/>
      <w:marTop w:val="0"/>
      <w:marBottom w:val="0"/>
      <w:divBdr>
        <w:top w:val="none" w:sz="0" w:space="0" w:color="auto"/>
        <w:left w:val="none" w:sz="0" w:space="0" w:color="auto"/>
        <w:bottom w:val="none" w:sz="0" w:space="0" w:color="auto"/>
        <w:right w:val="none" w:sz="0" w:space="0" w:color="auto"/>
      </w:divBdr>
      <w:divsChild>
        <w:div w:id="1245920680">
          <w:marLeft w:val="0"/>
          <w:marRight w:val="0"/>
          <w:marTop w:val="0"/>
          <w:marBottom w:val="0"/>
          <w:divBdr>
            <w:top w:val="none" w:sz="0" w:space="0" w:color="auto"/>
            <w:left w:val="none" w:sz="0" w:space="0" w:color="auto"/>
            <w:bottom w:val="none" w:sz="0" w:space="0" w:color="auto"/>
            <w:right w:val="none" w:sz="0" w:space="0" w:color="auto"/>
          </w:divBdr>
        </w:div>
      </w:divsChild>
    </w:div>
    <w:div w:id="1956447663">
      <w:bodyDiv w:val="1"/>
      <w:marLeft w:val="0"/>
      <w:marRight w:val="0"/>
      <w:marTop w:val="0"/>
      <w:marBottom w:val="0"/>
      <w:divBdr>
        <w:top w:val="none" w:sz="0" w:space="0" w:color="auto"/>
        <w:left w:val="none" w:sz="0" w:space="0" w:color="auto"/>
        <w:bottom w:val="none" w:sz="0" w:space="0" w:color="auto"/>
        <w:right w:val="none" w:sz="0" w:space="0" w:color="auto"/>
      </w:divBdr>
    </w:div>
    <w:div w:id="2050371363">
      <w:bodyDiv w:val="1"/>
      <w:marLeft w:val="0"/>
      <w:marRight w:val="0"/>
      <w:marTop w:val="0"/>
      <w:marBottom w:val="0"/>
      <w:divBdr>
        <w:top w:val="none" w:sz="0" w:space="0" w:color="auto"/>
        <w:left w:val="none" w:sz="0" w:space="0" w:color="auto"/>
        <w:bottom w:val="none" w:sz="0" w:space="0" w:color="auto"/>
        <w:right w:val="none" w:sz="0" w:space="0" w:color="auto"/>
      </w:divBdr>
    </w:div>
    <w:div w:id="209400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061B76D-88A7-41D9-A9CA-51A207A6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25</Pages>
  <Words>39104</Words>
  <Characters>211164</Characters>
  <Application>Microsoft Office Word</Application>
  <DocSecurity>0</DocSecurity>
  <Lines>1759</Lines>
  <Paragraphs>499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Palloma Silva</dc:creator>
  <cp:keywords/>
  <dc:description/>
  <cp:lastModifiedBy>Palloma Silva</cp:lastModifiedBy>
  <cp:revision>4</cp:revision>
  <cp:lastPrinted>2020-09-03T19:21:00Z</cp:lastPrinted>
  <dcterms:created xsi:type="dcterms:W3CDTF">2023-04-25T08:46:00Z</dcterms:created>
  <dcterms:modified xsi:type="dcterms:W3CDTF">2023-04-25T09:56:00Z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8fd18314-abc9-31c1-b655-935ee1a01cbb</vt:lpwstr>
  </property>
  <property fmtid="{D5CDD505-2E9C-101B-9397-08002B2CF9AE}" pid="24" name="Mendeley Citation Style_1">
    <vt:lpwstr>http://www.zotero.org/styles/vancouver</vt:lpwstr>
  </property>
  <property fmtid="{D5CDD505-2E9C-101B-9397-08002B2CF9AE}" pid="25" name="GrammarlyDocumentId">
    <vt:lpwstr>cdc0fa0abd331317d7ea7f2bc4da600bb84969cbc4e715f25fc347c0f38f23ff</vt:lpwstr>
  </property>
</Properties>
</file>